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D2B08">
      <w:pPr>
        <w:pStyle w:val="3"/>
        <w:spacing w:before="0" w:after="0" w:line="240" w:lineRule="auto"/>
        <w:jc w:val="left"/>
        <w:rPr>
          <w:rFonts w:hint="eastAsia" w:ascii="仿宋" w:hAnsi="仿宋" w:eastAsia="仿宋" w:cs="宋体"/>
          <w:b/>
          <w:bCs/>
          <w:kern w:val="0"/>
          <w:sz w:val="36"/>
          <w:szCs w:val="36"/>
          <w:lang w:val="en-US" w:eastAsia="zh-CN"/>
        </w:rPr>
      </w:pPr>
      <w:bookmarkStart w:id="0" w:name="_Toc8285"/>
      <w:r>
        <w:rPr>
          <w:rFonts w:hint="eastAsia" w:ascii="仿宋" w:hAnsi="仿宋" w:eastAsia="仿宋" w:cs="宋体"/>
          <w:b/>
          <w:bCs/>
          <w:kern w:val="0"/>
          <w:sz w:val="36"/>
          <w:szCs w:val="36"/>
          <w:lang w:val="en-US" w:eastAsia="zh-CN"/>
        </w:rPr>
        <w:t>附件一</w:t>
      </w:r>
    </w:p>
    <w:p w14:paraId="54B9C451">
      <w:pPr>
        <w:pStyle w:val="3"/>
        <w:spacing w:before="0" w:after="0" w:line="240" w:lineRule="auto"/>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韶关市2025年环境空气和废气监测能力建设项目</w:t>
      </w:r>
    </w:p>
    <w:p w14:paraId="72C402FD">
      <w:pPr>
        <w:pStyle w:val="3"/>
        <w:spacing w:line="360" w:lineRule="auto"/>
        <w:jc w:val="center"/>
        <w:rPr>
          <w:rFonts w:hint="eastAsia" w:ascii="宋体" w:hAnsi="宋体" w:eastAsia="宋体" w:cs="宋体"/>
        </w:rPr>
      </w:pPr>
      <w:r>
        <w:rPr>
          <w:rFonts w:hint="eastAsia" w:ascii="宋体" w:hAnsi="宋体" w:eastAsia="宋体" w:cs="宋体"/>
          <w:sz w:val="36"/>
          <w:szCs w:val="36"/>
        </w:rPr>
        <w:t>采购需求</w:t>
      </w:r>
      <w:bookmarkEnd w:id="0"/>
    </w:p>
    <w:p w14:paraId="7753BF81">
      <w:pPr>
        <w:spacing w:line="440" w:lineRule="exact"/>
        <w:ind w:right="-197"/>
        <w:jc w:val="left"/>
        <w:textAlignment w:val="baseline"/>
        <w:rPr>
          <w:rStyle w:val="47"/>
          <w:rFonts w:hint="eastAsia" w:ascii="宋体" w:hAnsi="宋体" w:cs="宋体"/>
          <w:b/>
          <w:bCs/>
          <w:szCs w:val="21"/>
        </w:rPr>
      </w:pPr>
      <w:bookmarkStart w:id="1" w:name="_Toc22929"/>
      <w:r>
        <w:rPr>
          <w:rStyle w:val="47"/>
          <w:rFonts w:hint="eastAsia" w:ascii="宋体" w:hAnsi="宋体" w:cs="宋体"/>
          <w:b/>
          <w:bCs/>
          <w:szCs w:val="21"/>
        </w:rPr>
        <w:t>一、项目基本情况</w:t>
      </w:r>
      <w:bookmarkEnd w:id="1"/>
    </w:p>
    <w:tbl>
      <w:tblPr>
        <w:tblStyle w:val="23"/>
        <w:tblW w:w="52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6413"/>
      </w:tblGrid>
      <w:tr w14:paraId="0267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94" w:type="pct"/>
            <w:vAlign w:val="center"/>
          </w:tcPr>
          <w:p w14:paraId="42209463">
            <w:pPr>
              <w:jc w:val="center"/>
              <w:rPr>
                <w:rFonts w:hint="eastAsia" w:ascii="宋体" w:hAnsi="宋体" w:eastAsia="宋体" w:cs="宋体"/>
                <w:szCs w:val="21"/>
              </w:rPr>
            </w:pPr>
            <w:r>
              <w:rPr>
                <w:rFonts w:hint="eastAsia" w:ascii="宋体" w:hAnsi="宋体" w:eastAsia="宋体" w:cs="宋体"/>
                <w:szCs w:val="21"/>
              </w:rPr>
              <w:t>项目名称</w:t>
            </w:r>
          </w:p>
        </w:tc>
        <w:tc>
          <w:tcPr>
            <w:tcW w:w="3605" w:type="pct"/>
          </w:tcPr>
          <w:p w14:paraId="5D8A355F">
            <w:pPr>
              <w:rPr>
                <w:rFonts w:hint="eastAsia" w:ascii="宋体" w:hAnsi="宋体" w:eastAsia="宋体" w:cs="宋体"/>
                <w:b/>
                <w:bCs/>
                <w:sz w:val="28"/>
                <w:szCs w:val="28"/>
                <w:lang w:eastAsia="zh-CN"/>
              </w:rPr>
            </w:pPr>
            <w:r>
              <w:rPr>
                <w:rFonts w:hint="eastAsia" w:ascii="宋体" w:hAnsi="宋体" w:eastAsia="宋体" w:cs="宋体"/>
                <w:szCs w:val="21"/>
                <w:lang w:eastAsia="zh-CN"/>
              </w:rPr>
              <w:t>韶关市2025年环境空气和废气监测能力建设项目</w:t>
            </w:r>
          </w:p>
        </w:tc>
      </w:tr>
      <w:tr w14:paraId="110E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394" w:type="pct"/>
            <w:vAlign w:val="center"/>
          </w:tcPr>
          <w:p w14:paraId="2FB81ADE">
            <w:pPr>
              <w:jc w:val="left"/>
              <w:rPr>
                <w:rFonts w:hint="eastAsia" w:ascii="宋体" w:hAnsi="宋体" w:eastAsia="宋体" w:cs="宋体"/>
                <w:szCs w:val="21"/>
              </w:rPr>
            </w:pPr>
            <w:r>
              <w:rPr>
                <w:rFonts w:hint="eastAsia" w:ascii="宋体" w:hAnsi="宋体" w:eastAsia="宋体" w:cs="宋体"/>
                <w:szCs w:val="21"/>
              </w:rPr>
              <w:t>项目预算（单位：元）</w:t>
            </w:r>
          </w:p>
        </w:tc>
        <w:tc>
          <w:tcPr>
            <w:tcW w:w="3605" w:type="pct"/>
          </w:tcPr>
          <w:p w14:paraId="46C48E61">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2300000.00</w:t>
            </w:r>
          </w:p>
        </w:tc>
      </w:tr>
      <w:tr w14:paraId="4403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94" w:type="pct"/>
            <w:vAlign w:val="center"/>
          </w:tcPr>
          <w:p w14:paraId="5426C5B4">
            <w:pPr>
              <w:jc w:val="center"/>
              <w:rPr>
                <w:rFonts w:hint="eastAsia" w:ascii="宋体" w:hAnsi="宋体" w:eastAsia="宋体" w:cs="宋体"/>
                <w:szCs w:val="21"/>
              </w:rPr>
            </w:pPr>
            <w:r>
              <w:rPr>
                <w:rFonts w:hint="eastAsia" w:ascii="宋体" w:hAnsi="宋体" w:eastAsia="宋体" w:cs="宋体"/>
                <w:szCs w:val="21"/>
              </w:rPr>
              <w:t>采购人单位</w:t>
            </w:r>
          </w:p>
        </w:tc>
        <w:tc>
          <w:tcPr>
            <w:tcW w:w="3605" w:type="pct"/>
          </w:tcPr>
          <w:p w14:paraId="75184C97">
            <w:pPr>
              <w:rPr>
                <w:rFonts w:hint="eastAsia" w:ascii="宋体" w:hAnsi="宋体" w:eastAsia="宋体" w:cs="宋体"/>
                <w:szCs w:val="21"/>
              </w:rPr>
            </w:pPr>
            <w:r>
              <w:rPr>
                <w:rFonts w:hint="eastAsia" w:ascii="宋体" w:hAnsi="宋体" w:eastAsia="宋体" w:cs="宋体"/>
                <w:szCs w:val="21"/>
              </w:rPr>
              <w:t>韶关市生态环境监测站</w:t>
            </w:r>
          </w:p>
        </w:tc>
      </w:tr>
    </w:tbl>
    <w:p w14:paraId="679F0A4B">
      <w:pPr>
        <w:ind w:right="-197"/>
        <w:jc w:val="left"/>
        <w:textAlignment w:val="baseline"/>
        <w:rPr>
          <w:rStyle w:val="47"/>
          <w:rFonts w:hint="eastAsia" w:ascii="宋体" w:hAnsi="宋体" w:cs="宋体"/>
          <w:b/>
          <w:bCs/>
          <w:szCs w:val="21"/>
        </w:rPr>
      </w:pPr>
    </w:p>
    <w:p w14:paraId="71857A17">
      <w:pPr>
        <w:ind w:right="-197"/>
        <w:jc w:val="left"/>
        <w:textAlignment w:val="baseline"/>
        <w:rPr>
          <w:rStyle w:val="47"/>
          <w:rFonts w:hint="eastAsia" w:ascii="宋体" w:hAnsi="宋体" w:cs="宋体"/>
          <w:b/>
          <w:bCs/>
          <w:szCs w:val="21"/>
        </w:rPr>
      </w:pPr>
      <w:r>
        <w:rPr>
          <w:rStyle w:val="47"/>
          <w:rFonts w:hint="eastAsia" w:ascii="宋体" w:hAnsi="宋体" w:cs="宋体"/>
          <w:b/>
          <w:bCs/>
          <w:szCs w:val="21"/>
        </w:rPr>
        <w:t xml:space="preserve">二、项目概况 </w:t>
      </w:r>
    </w:p>
    <w:p w14:paraId="64B4F45F">
      <w:pPr>
        <w:ind w:right="-197"/>
        <w:jc w:val="left"/>
        <w:textAlignment w:val="baseline"/>
        <w:rPr>
          <w:rFonts w:hint="eastAsia" w:ascii="宋体" w:hAnsi="宋体" w:eastAsia="宋体" w:cs="宋体"/>
          <w:szCs w:val="21"/>
        </w:rPr>
      </w:pPr>
      <w:r>
        <w:rPr>
          <w:rStyle w:val="47"/>
          <w:rFonts w:hint="eastAsia" w:ascii="宋体" w:hAnsi="宋体" w:cs="宋体"/>
          <w:b/>
          <w:bCs/>
          <w:szCs w:val="21"/>
        </w:rPr>
        <w:t>采购需求一览表</w:t>
      </w:r>
    </w:p>
    <w:tbl>
      <w:tblPr>
        <w:tblStyle w:val="22"/>
        <w:tblW w:w="9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330"/>
        <w:gridCol w:w="2295"/>
        <w:gridCol w:w="988"/>
        <w:gridCol w:w="660"/>
        <w:gridCol w:w="705"/>
        <w:gridCol w:w="1095"/>
      </w:tblGrid>
      <w:tr w14:paraId="7585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dxa"/>
            <w:shd w:val="clear" w:color="auto" w:fill="FFFFFF"/>
            <w:tcMar>
              <w:top w:w="0" w:type="dxa"/>
              <w:right w:w="0" w:type="dxa"/>
            </w:tcMar>
            <w:vAlign w:val="center"/>
          </w:tcPr>
          <w:p w14:paraId="465139C6">
            <w:pPr>
              <w:jc w:val="center"/>
              <w:rPr>
                <w:rFonts w:hint="eastAsia" w:ascii="宋体" w:hAnsi="宋体" w:eastAsia="宋体" w:cs="宋体"/>
                <w:szCs w:val="21"/>
              </w:rPr>
            </w:pPr>
            <w:r>
              <w:rPr>
                <w:rFonts w:hint="eastAsia" w:ascii="宋体" w:hAnsi="宋体" w:eastAsia="宋体" w:cs="宋体"/>
                <w:szCs w:val="21"/>
              </w:rPr>
              <w:t>序号</w:t>
            </w:r>
          </w:p>
        </w:tc>
        <w:tc>
          <w:tcPr>
            <w:tcW w:w="3330" w:type="dxa"/>
            <w:shd w:val="clear" w:color="auto" w:fill="FFFFFF"/>
            <w:tcMar>
              <w:top w:w="0" w:type="dxa"/>
              <w:right w:w="0" w:type="dxa"/>
            </w:tcMar>
            <w:vAlign w:val="center"/>
          </w:tcPr>
          <w:p w14:paraId="187E305A">
            <w:pPr>
              <w:jc w:val="center"/>
              <w:rPr>
                <w:rFonts w:hint="eastAsia" w:ascii="宋体" w:hAnsi="宋体" w:eastAsia="宋体" w:cs="宋体"/>
                <w:szCs w:val="21"/>
              </w:rPr>
            </w:pPr>
            <w:r>
              <w:rPr>
                <w:rFonts w:hint="eastAsia" w:ascii="宋体" w:hAnsi="宋体" w:eastAsia="宋体" w:cs="宋体"/>
                <w:szCs w:val="21"/>
              </w:rPr>
              <w:t>货物名称</w:t>
            </w:r>
          </w:p>
        </w:tc>
        <w:tc>
          <w:tcPr>
            <w:tcW w:w="2295" w:type="dxa"/>
            <w:shd w:val="clear" w:color="auto" w:fill="FFFFFF"/>
            <w:tcMar>
              <w:top w:w="0" w:type="dxa"/>
              <w:right w:w="0" w:type="dxa"/>
            </w:tcMar>
            <w:vAlign w:val="center"/>
          </w:tcPr>
          <w:p w14:paraId="1800A826">
            <w:pPr>
              <w:jc w:val="center"/>
              <w:rPr>
                <w:rFonts w:hint="eastAsia" w:ascii="宋体" w:hAnsi="宋体" w:eastAsia="宋体" w:cs="宋体"/>
                <w:szCs w:val="21"/>
              </w:rPr>
            </w:pPr>
            <w:r>
              <w:rPr>
                <w:rFonts w:hint="eastAsia" w:ascii="宋体" w:hAnsi="宋体" w:eastAsia="宋体" w:cs="宋体"/>
                <w:szCs w:val="21"/>
              </w:rPr>
              <w:t>政府采购品目分类编码</w:t>
            </w:r>
          </w:p>
        </w:tc>
        <w:tc>
          <w:tcPr>
            <w:tcW w:w="988" w:type="dxa"/>
            <w:shd w:val="clear" w:color="auto" w:fill="FFFFFF"/>
            <w:tcMar>
              <w:top w:w="0" w:type="dxa"/>
              <w:right w:w="0" w:type="dxa"/>
            </w:tcMar>
            <w:vAlign w:val="center"/>
          </w:tcPr>
          <w:p w14:paraId="3731B534">
            <w:pPr>
              <w:jc w:val="center"/>
              <w:rPr>
                <w:rFonts w:hint="eastAsia" w:ascii="宋体" w:hAnsi="宋体" w:eastAsia="宋体" w:cs="宋体"/>
                <w:szCs w:val="21"/>
              </w:rPr>
            </w:pPr>
            <w:r>
              <w:rPr>
                <w:rFonts w:hint="eastAsia" w:ascii="宋体" w:hAnsi="宋体" w:eastAsia="宋体" w:cs="宋体"/>
                <w:szCs w:val="21"/>
              </w:rPr>
              <w:t>计量单位</w:t>
            </w:r>
          </w:p>
        </w:tc>
        <w:tc>
          <w:tcPr>
            <w:tcW w:w="660" w:type="dxa"/>
            <w:shd w:val="clear" w:color="auto" w:fill="FFFFFF"/>
            <w:tcMar>
              <w:top w:w="0" w:type="dxa"/>
              <w:right w:w="0" w:type="dxa"/>
            </w:tcMar>
            <w:vAlign w:val="center"/>
          </w:tcPr>
          <w:p w14:paraId="2054A8B8">
            <w:pPr>
              <w:jc w:val="center"/>
              <w:rPr>
                <w:rFonts w:hint="eastAsia" w:ascii="宋体" w:hAnsi="宋体" w:eastAsia="宋体" w:cs="宋体"/>
                <w:szCs w:val="21"/>
              </w:rPr>
            </w:pPr>
            <w:r>
              <w:rPr>
                <w:rFonts w:hint="eastAsia" w:ascii="宋体" w:hAnsi="宋体" w:eastAsia="宋体" w:cs="宋体"/>
                <w:szCs w:val="21"/>
              </w:rPr>
              <w:t>数量</w:t>
            </w:r>
          </w:p>
        </w:tc>
        <w:tc>
          <w:tcPr>
            <w:tcW w:w="705" w:type="dxa"/>
            <w:shd w:val="clear" w:color="auto" w:fill="FFFFFF"/>
            <w:vAlign w:val="center"/>
          </w:tcPr>
          <w:p w14:paraId="19047BCD">
            <w:pPr>
              <w:jc w:val="center"/>
              <w:rPr>
                <w:rFonts w:hint="eastAsia" w:ascii="宋体" w:hAnsi="宋体" w:eastAsia="宋体" w:cs="宋体"/>
                <w:szCs w:val="21"/>
              </w:rPr>
            </w:pPr>
            <w:r>
              <w:rPr>
                <w:rFonts w:hint="eastAsia" w:ascii="宋体" w:hAnsi="宋体" w:eastAsia="宋体" w:cs="宋体"/>
                <w:szCs w:val="21"/>
              </w:rPr>
              <w:t>预算</w:t>
            </w:r>
          </w:p>
        </w:tc>
        <w:tc>
          <w:tcPr>
            <w:tcW w:w="1095" w:type="dxa"/>
            <w:shd w:val="clear" w:color="auto" w:fill="FFFFFF"/>
            <w:tcMar>
              <w:top w:w="0" w:type="dxa"/>
              <w:right w:w="0" w:type="dxa"/>
            </w:tcMar>
            <w:vAlign w:val="center"/>
          </w:tcPr>
          <w:p w14:paraId="3ABF65A1">
            <w:pPr>
              <w:jc w:val="center"/>
              <w:rPr>
                <w:rFonts w:hint="eastAsia" w:ascii="宋体" w:hAnsi="宋体" w:eastAsia="宋体" w:cs="宋体"/>
                <w:szCs w:val="21"/>
              </w:rPr>
            </w:pPr>
            <w:r>
              <w:rPr>
                <w:rFonts w:hint="eastAsia" w:ascii="宋体" w:hAnsi="宋体" w:eastAsia="宋体" w:cs="宋体"/>
                <w:szCs w:val="21"/>
              </w:rPr>
              <w:t>是否进口</w:t>
            </w:r>
          </w:p>
        </w:tc>
      </w:tr>
      <w:tr w14:paraId="70F8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dxa"/>
            <w:shd w:val="clear" w:color="auto" w:fill="FFFFFF"/>
            <w:tcMar>
              <w:top w:w="0" w:type="dxa"/>
              <w:right w:w="0" w:type="dxa"/>
            </w:tcMar>
            <w:vAlign w:val="center"/>
          </w:tcPr>
          <w:p w14:paraId="4AD10EF7">
            <w:pPr>
              <w:jc w:val="center"/>
              <w:rPr>
                <w:rFonts w:hint="eastAsia" w:ascii="宋体" w:hAnsi="宋体" w:eastAsia="宋体" w:cs="宋体"/>
                <w:szCs w:val="21"/>
              </w:rPr>
            </w:pPr>
            <w:r>
              <w:rPr>
                <w:rFonts w:hint="eastAsia" w:ascii="宋体" w:hAnsi="宋体" w:eastAsia="宋体" w:cs="宋体"/>
                <w:szCs w:val="21"/>
              </w:rPr>
              <w:t>1</w:t>
            </w:r>
          </w:p>
        </w:tc>
        <w:tc>
          <w:tcPr>
            <w:tcW w:w="3330" w:type="dxa"/>
            <w:shd w:val="clear" w:color="auto" w:fill="FFFFFF"/>
            <w:tcMar>
              <w:top w:w="0" w:type="dxa"/>
              <w:right w:w="0" w:type="dxa"/>
            </w:tcMar>
            <w:vAlign w:val="center"/>
          </w:tcPr>
          <w:p w14:paraId="1F295608">
            <w:pPr>
              <w:jc w:val="center"/>
              <w:rPr>
                <w:rFonts w:hint="eastAsia" w:ascii="宋体" w:hAnsi="宋体" w:eastAsia="宋体" w:cs="宋体"/>
                <w:szCs w:val="21"/>
              </w:rPr>
            </w:pPr>
            <w:r>
              <w:rPr>
                <w:rFonts w:hint="eastAsia" w:ascii="宋体" w:hAnsi="宋体" w:eastAsia="宋体" w:cs="宋体"/>
                <w:szCs w:val="21"/>
              </w:rPr>
              <w:t>烟气分析仪</w:t>
            </w:r>
          </w:p>
        </w:tc>
        <w:tc>
          <w:tcPr>
            <w:tcW w:w="2295" w:type="dxa"/>
            <w:shd w:val="clear" w:color="auto" w:fill="FFFFFF"/>
            <w:tcMar>
              <w:top w:w="0" w:type="dxa"/>
              <w:right w:w="0" w:type="dxa"/>
            </w:tcMar>
            <w:vAlign w:val="center"/>
          </w:tcPr>
          <w:p w14:paraId="383038B4">
            <w:pPr>
              <w:jc w:val="center"/>
              <w:rPr>
                <w:rFonts w:hint="eastAsia" w:ascii="宋体" w:hAnsi="宋体" w:eastAsia="宋体" w:cs="宋体"/>
                <w:szCs w:val="21"/>
              </w:rPr>
            </w:pPr>
            <w:r>
              <w:rPr>
                <w:rFonts w:hint="eastAsia" w:ascii="宋体" w:hAnsi="宋体" w:eastAsia="宋体" w:cs="宋体"/>
                <w:szCs w:val="21"/>
              </w:rPr>
              <w:t>A02100499</w:t>
            </w:r>
          </w:p>
        </w:tc>
        <w:tc>
          <w:tcPr>
            <w:tcW w:w="988" w:type="dxa"/>
            <w:shd w:val="clear" w:color="auto" w:fill="FFFFFF"/>
            <w:tcMar>
              <w:top w:w="0" w:type="dxa"/>
              <w:right w:w="0" w:type="dxa"/>
            </w:tcMar>
            <w:vAlign w:val="center"/>
          </w:tcPr>
          <w:p w14:paraId="5FF22B26">
            <w:pPr>
              <w:jc w:val="center"/>
              <w:rPr>
                <w:rFonts w:hint="eastAsia" w:ascii="宋体" w:hAnsi="宋体" w:eastAsia="宋体" w:cs="宋体"/>
                <w:szCs w:val="21"/>
              </w:rPr>
            </w:pPr>
            <w:r>
              <w:rPr>
                <w:rFonts w:hint="eastAsia" w:ascii="宋体" w:hAnsi="宋体" w:eastAsia="宋体" w:cs="宋体"/>
                <w:szCs w:val="21"/>
              </w:rPr>
              <w:t>（台/套）</w:t>
            </w:r>
          </w:p>
        </w:tc>
        <w:tc>
          <w:tcPr>
            <w:tcW w:w="660" w:type="dxa"/>
            <w:shd w:val="clear" w:color="auto" w:fill="FFFFFF"/>
            <w:tcMar>
              <w:top w:w="0" w:type="dxa"/>
              <w:right w:w="0" w:type="dxa"/>
            </w:tcMar>
            <w:vAlign w:val="center"/>
          </w:tcPr>
          <w:p w14:paraId="4BD5128C">
            <w:pPr>
              <w:jc w:val="center"/>
              <w:rPr>
                <w:rFonts w:hint="eastAsia" w:ascii="宋体" w:hAnsi="宋体" w:eastAsia="宋体" w:cs="宋体"/>
                <w:szCs w:val="21"/>
              </w:rPr>
            </w:pPr>
            <w:r>
              <w:rPr>
                <w:rFonts w:hint="eastAsia" w:ascii="宋体" w:hAnsi="宋体" w:eastAsia="宋体" w:cs="宋体"/>
                <w:szCs w:val="21"/>
                <w:lang w:val="en-US" w:eastAsia="zh-CN"/>
              </w:rPr>
              <w:t>2</w:t>
            </w:r>
          </w:p>
        </w:tc>
        <w:tc>
          <w:tcPr>
            <w:tcW w:w="705" w:type="dxa"/>
            <w:shd w:val="clear" w:color="auto" w:fill="FFFFFF"/>
            <w:vAlign w:val="center"/>
          </w:tcPr>
          <w:p w14:paraId="7401855F">
            <w:pPr>
              <w:jc w:val="center"/>
              <w:rPr>
                <w:rFonts w:hint="eastAsia" w:ascii="宋体" w:hAnsi="宋体" w:eastAsia="宋体" w:cs="宋体"/>
                <w:szCs w:val="21"/>
              </w:rPr>
            </w:pPr>
          </w:p>
        </w:tc>
        <w:tc>
          <w:tcPr>
            <w:tcW w:w="1095" w:type="dxa"/>
            <w:shd w:val="clear" w:color="auto" w:fill="FFFFFF"/>
            <w:tcMar>
              <w:top w:w="0" w:type="dxa"/>
              <w:right w:w="0" w:type="dxa"/>
            </w:tcMar>
            <w:vAlign w:val="center"/>
          </w:tcPr>
          <w:p w14:paraId="082FAAA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否</w:t>
            </w:r>
          </w:p>
        </w:tc>
      </w:tr>
      <w:tr w14:paraId="5E57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dxa"/>
            <w:shd w:val="clear" w:color="auto" w:fill="FFFFFF"/>
            <w:tcMar>
              <w:top w:w="0" w:type="dxa"/>
              <w:right w:w="0" w:type="dxa"/>
            </w:tcMar>
            <w:vAlign w:val="center"/>
          </w:tcPr>
          <w:p w14:paraId="72B252A5">
            <w:pPr>
              <w:jc w:val="center"/>
              <w:rPr>
                <w:rFonts w:hint="eastAsia" w:ascii="宋体" w:hAnsi="宋体" w:eastAsia="宋体" w:cs="宋体"/>
                <w:szCs w:val="21"/>
              </w:rPr>
            </w:pPr>
            <w:r>
              <w:rPr>
                <w:rFonts w:hint="eastAsia" w:ascii="宋体" w:hAnsi="宋体" w:eastAsia="宋体" w:cs="宋体"/>
                <w:szCs w:val="21"/>
              </w:rPr>
              <w:t>2</w:t>
            </w:r>
          </w:p>
        </w:tc>
        <w:tc>
          <w:tcPr>
            <w:tcW w:w="3330" w:type="dxa"/>
            <w:shd w:val="clear" w:color="auto" w:fill="FFFFFF"/>
            <w:tcMar>
              <w:top w:w="0" w:type="dxa"/>
              <w:right w:w="0" w:type="dxa"/>
            </w:tcMar>
            <w:vAlign w:val="center"/>
          </w:tcPr>
          <w:p w14:paraId="24C50131">
            <w:pPr>
              <w:jc w:val="center"/>
              <w:rPr>
                <w:rFonts w:hint="eastAsia" w:ascii="宋体" w:hAnsi="宋体" w:eastAsia="宋体" w:cs="宋体"/>
                <w:szCs w:val="21"/>
              </w:rPr>
            </w:pPr>
            <w:r>
              <w:rPr>
                <w:rFonts w:hint="eastAsia" w:ascii="宋体" w:hAnsi="宋体" w:eastAsia="宋体" w:cs="宋体"/>
                <w:szCs w:val="21"/>
              </w:rPr>
              <w:t>便携式红外烟气分析仪</w:t>
            </w:r>
          </w:p>
        </w:tc>
        <w:tc>
          <w:tcPr>
            <w:tcW w:w="2295" w:type="dxa"/>
            <w:shd w:val="clear" w:color="auto" w:fill="FFFFFF"/>
            <w:tcMar>
              <w:top w:w="0" w:type="dxa"/>
              <w:right w:w="0" w:type="dxa"/>
            </w:tcMar>
            <w:vAlign w:val="center"/>
          </w:tcPr>
          <w:p w14:paraId="33C8CB53">
            <w:pPr>
              <w:jc w:val="center"/>
              <w:rPr>
                <w:rFonts w:hint="eastAsia" w:ascii="宋体" w:hAnsi="宋体" w:eastAsia="宋体" w:cs="宋体"/>
                <w:szCs w:val="21"/>
              </w:rPr>
            </w:pPr>
            <w:r>
              <w:rPr>
                <w:rFonts w:hint="eastAsia" w:ascii="宋体" w:hAnsi="宋体" w:eastAsia="宋体" w:cs="宋体"/>
                <w:szCs w:val="21"/>
              </w:rPr>
              <w:t>A02100404</w:t>
            </w:r>
          </w:p>
        </w:tc>
        <w:tc>
          <w:tcPr>
            <w:tcW w:w="988" w:type="dxa"/>
            <w:shd w:val="clear" w:color="auto" w:fill="FFFFFF"/>
            <w:tcMar>
              <w:top w:w="0" w:type="dxa"/>
              <w:right w:w="0" w:type="dxa"/>
            </w:tcMar>
            <w:vAlign w:val="center"/>
          </w:tcPr>
          <w:p w14:paraId="0065A7AE">
            <w:pPr>
              <w:jc w:val="center"/>
              <w:rPr>
                <w:rFonts w:hint="eastAsia" w:ascii="宋体" w:hAnsi="宋体" w:eastAsia="宋体" w:cs="宋体"/>
                <w:szCs w:val="21"/>
              </w:rPr>
            </w:pPr>
            <w:r>
              <w:rPr>
                <w:rFonts w:hint="eastAsia" w:ascii="宋体" w:hAnsi="宋体" w:eastAsia="宋体" w:cs="宋体"/>
                <w:szCs w:val="21"/>
              </w:rPr>
              <w:t>（台/套）</w:t>
            </w:r>
          </w:p>
        </w:tc>
        <w:tc>
          <w:tcPr>
            <w:tcW w:w="660" w:type="dxa"/>
            <w:shd w:val="clear" w:color="auto" w:fill="FFFFFF"/>
            <w:tcMar>
              <w:top w:w="0" w:type="dxa"/>
              <w:right w:w="0" w:type="dxa"/>
            </w:tcMar>
            <w:vAlign w:val="center"/>
          </w:tcPr>
          <w:p w14:paraId="2B950CFD">
            <w:pPr>
              <w:jc w:val="center"/>
              <w:rPr>
                <w:rFonts w:hint="eastAsia" w:ascii="宋体" w:hAnsi="宋体" w:eastAsia="宋体" w:cs="宋体"/>
                <w:szCs w:val="21"/>
              </w:rPr>
            </w:pPr>
            <w:r>
              <w:rPr>
                <w:rFonts w:hint="eastAsia" w:ascii="宋体" w:hAnsi="宋体" w:eastAsia="宋体" w:cs="宋体"/>
                <w:szCs w:val="21"/>
              </w:rPr>
              <w:t>1</w:t>
            </w:r>
          </w:p>
        </w:tc>
        <w:tc>
          <w:tcPr>
            <w:tcW w:w="705" w:type="dxa"/>
            <w:shd w:val="clear" w:color="auto" w:fill="FFFFFF"/>
            <w:vAlign w:val="center"/>
          </w:tcPr>
          <w:p w14:paraId="16532354">
            <w:pPr>
              <w:jc w:val="center"/>
              <w:rPr>
                <w:rFonts w:hint="eastAsia" w:ascii="宋体" w:hAnsi="宋体" w:eastAsia="宋体" w:cs="宋体"/>
                <w:szCs w:val="21"/>
              </w:rPr>
            </w:pPr>
          </w:p>
        </w:tc>
        <w:tc>
          <w:tcPr>
            <w:tcW w:w="1095" w:type="dxa"/>
            <w:shd w:val="clear" w:color="auto" w:fill="FFFFFF"/>
            <w:tcMar>
              <w:top w:w="0" w:type="dxa"/>
              <w:right w:w="0" w:type="dxa"/>
            </w:tcMar>
            <w:vAlign w:val="center"/>
          </w:tcPr>
          <w:p w14:paraId="792A85D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否</w:t>
            </w:r>
          </w:p>
        </w:tc>
      </w:tr>
      <w:tr w14:paraId="6049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dxa"/>
            <w:shd w:val="clear" w:color="auto" w:fill="FFFFFF"/>
            <w:tcMar>
              <w:top w:w="0" w:type="dxa"/>
              <w:right w:w="0" w:type="dxa"/>
            </w:tcMar>
            <w:vAlign w:val="center"/>
          </w:tcPr>
          <w:p w14:paraId="091506AB">
            <w:pPr>
              <w:jc w:val="center"/>
              <w:rPr>
                <w:rFonts w:hint="eastAsia" w:ascii="宋体" w:hAnsi="宋体" w:eastAsia="宋体" w:cs="宋体"/>
                <w:szCs w:val="21"/>
              </w:rPr>
            </w:pPr>
            <w:r>
              <w:rPr>
                <w:rFonts w:hint="eastAsia" w:ascii="宋体" w:hAnsi="宋体" w:eastAsia="宋体" w:cs="宋体"/>
                <w:szCs w:val="21"/>
              </w:rPr>
              <w:t>3</w:t>
            </w:r>
          </w:p>
        </w:tc>
        <w:tc>
          <w:tcPr>
            <w:tcW w:w="3330" w:type="dxa"/>
            <w:shd w:val="clear" w:color="auto" w:fill="FFFFFF"/>
            <w:tcMar>
              <w:top w:w="0" w:type="dxa"/>
              <w:right w:w="0" w:type="dxa"/>
            </w:tcMar>
            <w:vAlign w:val="center"/>
          </w:tcPr>
          <w:p w14:paraId="30AD5BF6">
            <w:pPr>
              <w:jc w:val="center"/>
              <w:rPr>
                <w:rFonts w:hint="eastAsia" w:ascii="宋体" w:hAnsi="宋体" w:eastAsia="宋体" w:cs="宋体"/>
                <w:szCs w:val="21"/>
              </w:rPr>
            </w:pPr>
            <w:r>
              <w:rPr>
                <w:rFonts w:hint="eastAsia" w:ascii="宋体" w:hAnsi="宋体" w:eastAsia="宋体" w:cs="宋体"/>
                <w:szCs w:val="21"/>
              </w:rPr>
              <w:t>便携式多种气体检测仪</w:t>
            </w:r>
          </w:p>
        </w:tc>
        <w:tc>
          <w:tcPr>
            <w:tcW w:w="2295" w:type="dxa"/>
            <w:shd w:val="clear" w:color="auto" w:fill="FFFFFF"/>
            <w:tcMar>
              <w:top w:w="0" w:type="dxa"/>
              <w:right w:w="0" w:type="dxa"/>
            </w:tcMar>
            <w:vAlign w:val="center"/>
          </w:tcPr>
          <w:p w14:paraId="67B90FFC">
            <w:pPr>
              <w:jc w:val="center"/>
              <w:rPr>
                <w:rFonts w:hint="eastAsia" w:ascii="宋体" w:hAnsi="宋体" w:eastAsia="宋体" w:cs="宋体"/>
                <w:szCs w:val="21"/>
              </w:rPr>
            </w:pPr>
            <w:r>
              <w:rPr>
                <w:rFonts w:hint="eastAsia" w:ascii="宋体" w:hAnsi="宋体" w:eastAsia="宋体" w:cs="宋体"/>
                <w:szCs w:val="21"/>
              </w:rPr>
              <w:t>A02100499</w:t>
            </w:r>
          </w:p>
        </w:tc>
        <w:tc>
          <w:tcPr>
            <w:tcW w:w="988" w:type="dxa"/>
            <w:shd w:val="clear" w:color="auto" w:fill="FFFFFF"/>
            <w:tcMar>
              <w:top w:w="0" w:type="dxa"/>
              <w:right w:w="0" w:type="dxa"/>
            </w:tcMar>
            <w:vAlign w:val="center"/>
          </w:tcPr>
          <w:p w14:paraId="37AD66FE">
            <w:pPr>
              <w:jc w:val="center"/>
              <w:rPr>
                <w:rFonts w:hint="eastAsia" w:ascii="宋体" w:hAnsi="宋体" w:eastAsia="宋体" w:cs="宋体"/>
                <w:szCs w:val="21"/>
              </w:rPr>
            </w:pPr>
            <w:r>
              <w:rPr>
                <w:rFonts w:hint="eastAsia" w:ascii="宋体" w:hAnsi="宋体" w:eastAsia="宋体" w:cs="宋体"/>
                <w:szCs w:val="21"/>
              </w:rPr>
              <w:t>（台/套）</w:t>
            </w:r>
          </w:p>
        </w:tc>
        <w:tc>
          <w:tcPr>
            <w:tcW w:w="660" w:type="dxa"/>
            <w:shd w:val="clear" w:color="auto" w:fill="FFFFFF"/>
            <w:tcMar>
              <w:top w:w="0" w:type="dxa"/>
              <w:right w:w="0" w:type="dxa"/>
            </w:tcMar>
            <w:vAlign w:val="center"/>
          </w:tcPr>
          <w:p w14:paraId="531DE792">
            <w:pPr>
              <w:jc w:val="center"/>
              <w:rPr>
                <w:rFonts w:hint="eastAsia" w:ascii="宋体" w:hAnsi="宋体" w:eastAsia="宋体" w:cs="宋体"/>
                <w:szCs w:val="21"/>
              </w:rPr>
            </w:pPr>
            <w:r>
              <w:rPr>
                <w:rFonts w:hint="eastAsia" w:ascii="宋体" w:hAnsi="宋体" w:eastAsia="宋体" w:cs="宋体"/>
                <w:szCs w:val="21"/>
                <w:lang w:val="en-US" w:eastAsia="zh-CN"/>
              </w:rPr>
              <w:t>2</w:t>
            </w:r>
          </w:p>
        </w:tc>
        <w:tc>
          <w:tcPr>
            <w:tcW w:w="705" w:type="dxa"/>
            <w:shd w:val="clear" w:color="auto" w:fill="FFFFFF"/>
            <w:vAlign w:val="center"/>
          </w:tcPr>
          <w:p w14:paraId="63BAD907">
            <w:pPr>
              <w:jc w:val="center"/>
              <w:rPr>
                <w:rFonts w:hint="eastAsia" w:ascii="宋体" w:hAnsi="宋体" w:eastAsia="宋体" w:cs="宋体"/>
                <w:szCs w:val="21"/>
              </w:rPr>
            </w:pPr>
          </w:p>
        </w:tc>
        <w:tc>
          <w:tcPr>
            <w:tcW w:w="1095" w:type="dxa"/>
            <w:shd w:val="clear" w:color="auto" w:fill="FFFFFF"/>
            <w:tcMar>
              <w:top w:w="0" w:type="dxa"/>
              <w:right w:w="0" w:type="dxa"/>
            </w:tcMar>
            <w:vAlign w:val="center"/>
          </w:tcPr>
          <w:p w14:paraId="479A421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否</w:t>
            </w:r>
          </w:p>
        </w:tc>
      </w:tr>
      <w:tr w14:paraId="7F3D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dxa"/>
            <w:shd w:val="clear" w:color="auto" w:fill="FFFFFF"/>
            <w:tcMar>
              <w:top w:w="0" w:type="dxa"/>
              <w:right w:w="0" w:type="dxa"/>
            </w:tcMar>
            <w:vAlign w:val="center"/>
          </w:tcPr>
          <w:p w14:paraId="74438800">
            <w:pPr>
              <w:jc w:val="center"/>
              <w:rPr>
                <w:rFonts w:hint="eastAsia" w:ascii="宋体" w:hAnsi="宋体" w:eastAsia="宋体" w:cs="宋体"/>
                <w:szCs w:val="21"/>
              </w:rPr>
            </w:pPr>
            <w:r>
              <w:rPr>
                <w:rFonts w:hint="eastAsia" w:ascii="宋体" w:hAnsi="宋体" w:eastAsia="宋体" w:cs="宋体"/>
                <w:szCs w:val="21"/>
              </w:rPr>
              <w:t>4</w:t>
            </w:r>
          </w:p>
        </w:tc>
        <w:tc>
          <w:tcPr>
            <w:tcW w:w="3330" w:type="dxa"/>
            <w:shd w:val="clear" w:color="auto" w:fill="FFFFFF"/>
            <w:tcMar>
              <w:top w:w="0" w:type="dxa"/>
              <w:right w:w="0" w:type="dxa"/>
            </w:tcMar>
            <w:vAlign w:val="center"/>
          </w:tcPr>
          <w:p w14:paraId="5263E19E">
            <w:pPr>
              <w:jc w:val="center"/>
              <w:rPr>
                <w:rFonts w:hint="eastAsia" w:ascii="宋体" w:hAnsi="宋体" w:eastAsia="宋体" w:cs="宋体"/>
                <w:szCs w:val="21"/>
                <w:lang w:val="en-US" w:eastAsia="zh-CN"/>
              </w:rPr>
            </w:pPr>
            <w:r>
              <w:rPr>
                <w:rFonts w:hint="eastAsia" w:ascii="宋体" w:hAnsi="宋体" w:eastAsia="宋体" w:cs="宋体"/>
                <w:szCs w:val="21"/>
              </w:rPr>
              <w:t>便携式傅里叶变换红外气体分析仪</w:t>
            </w:r>
          </w:p>
        </w:tc>
        <w:tc>
          <w:tcPr>
            <w:tcW w:w="2295" w:type="dxa"/>
            <w:shd w:val="clear" w:color="auto" w:fill="FFFFFF"/>
            <w:tcMar>
              <w:top w:w="0" w:type="dxa"/>
              <w:right w:w="0" w:type="dxa"/>
            </w:tcMar>
            <w:vAlign w:val="center"/>
          </w:tcPr>
          <w:p w14:paraId="7865CCAE">
            <w:pPr>
              <w:jc w:val="center"/>
              <w:rPr>
                <w:rFonts w:hint="eastAsia" w:ascii="宋体" w:hAnsi="宋体" w:eastAsia="宋体" w:cs="宋体"/>
                <w:szCs w:val="21"/>
                <w:lang w:val="en-US" w:eastAsia="zh-CN"/>
              </w:rPr>
            </w:pPr>
            <w:r>
              <w:rPr>
                <w:rFonts w:hint="eastAsia" w:ascii="宋体" w:hAnsi="宋体" w:eastAsia="宋体" w:cs="宋体"/>
                <w:szCs w:val="21"/>
              </w:rPr>
              <w:t>A02100404</w:t>
            </w:r>
          </w:p>
        </w:tc>
        <w:tc>
          <w:tcPr>
            <w:tcW w:w="988" w:type="dxa"/>
            <w:shd w:val="clear" w:color="auto" w:fill="FFFFFF"/>
            <w:tcMar>
              <w:top w:w="0" w:type="dxa"/>
              <w:right w:w="0" w:type="dxa"/>
            </w:tcMar>
            <w:vAlign w:val="center"/>
          </w:tcPr>
          <w:p w14:paraId="0380E69D">
            <w:pPr>
              <w:jc w:val="center"/>
              <w:rPr>
                <w:rFonts w:hint="eastAsia" w:ascii="宋体" w:hAnsi="宋体" w:eastAsia="宋体" w:cs="宋体"/>
                <w:szCs w:val="21"/>
                <w:lang w:val="en-US" w:eastAsia="zh-CN"/>
              </w:rPr>
            </w:pPr>
            <w:r>
              <w:rPr>
                <w:rFonts w:hint="eastAsia" w:ascii="宋体" w:hAnsi="宋体" w:eastAsia="宋体" w:cs="宋体"/>
                <w:szCs w:val="21"/>
              </w:rPr>
              <w:t>（台/套）</w:t>
            </w:r>
          </w:p>
        </w:tc>
        <w:tc>
          <w:tcPr>
            <w:tcW w:w="660" w:type="dxa"/>
            <w:shd w:val="clear" w:color="auto" w:fill="FFFFFF"/>
            <w:tcMar>
              <w:top w:w="0" w:type="dxa"/>
              <w:right w:w="0" w:type="dxa"/>
            </w:tcMar>
            <w:vAlign w:val="center"/>
          </w:tcPr>
          <w:p w14:paraId="142EDDB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705" w:type="dxa"/>
            <w:shd w:val="clear" w:color="auto" w:fill="FFFFFF"/>
            <w:vAlign w:val="center"/>
          </w:tcPr>
          <w:p w14:paraId="7E69455B">
            <w:pPr>
              <w:jc w:val="center"/>
              <w:rPr>
                <w:rFonts w:hint="eastAsia" w:ascii="宋体" w:hAnsi="宋体" w:eastAsia="宋体" w:cs="宋体"/>
                <w:szCs w:val="21"/>
                <w:lang w:val="en-US" w:eastAsia="zh-CN"/>
              </w:rPr>
            </w:pPr>
          </w:p>
        </w:tc>
        <w:tc>
          <w:tcPr>
            <w:tcW w:w="1095" w:type="dxa"/>
            <w:shd w:val="clear" w:color="auto" w:fill="FFFFFF"/>
            <w:tcMar>
              <w:top w:w="0" w:type="dxa"/>
              <w:right w:w="0" w:type="dxa"/>
            </w:tcMar>
            <w:vAlign w:val="center"/>
          </w:tcPr>
          <w:p w14:paraId="6243659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否</w:t>
            </w:r>
          </w:p>
        </w:tc>
      </w:tr>
      <w:tr w14:paraId="4BAE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dxa"/>
            <w:shd w:val="clear" w:color="auto" w:fill="FFFFFF"/>
            <w:tcMar>
              <w:top w:w="0" w:type="dxa"/>
              <w:right w:w="0" w:type="dxa"/>
            </w:tcMar>
            <w:vAlign w:val="center"/>
          </w:tcPr>
          <w:p w14:paraId="1A1A3DFE">
            <w:pPr>
              <w:jc w:val="center"/>
              <w:rPr>
                <w:rFonts w:hint="eastAsia" w:ascii="宋体" w:hAnsi="宋体" w:eastAsia="宋体" w:cs="宋体"/>
                <w:szCs w:val="21"/>
              </w:rPr>
            </w:pPr>
            <w:r>
              <w:rPr>
                <w:rFonts w:hint="eastAsia" w:ascii="宋体" w:hAnsi="宋体" w:eastAsia="宋体" w:cs="宋体"/>
                <w:szCs w:val="21"/>
              </w:rPr>
              <w:t>5</w:t>
            </w:r>
          </w:p>
        </w:tc>
        <w:tc>
          <w:tcPr>
            <w:tcW w:w="3330" w:type="dxa"/>
            <w:shd w:val="clear" w:color="auto" w:fill="FFFFFF"/>
            <w:tcMar>
              <w:top w:w="0" w:type="dxa"/>
              <w:right w:w="0" w:type="dxa"/>
            </w:tcMar>
            <w:vAlign w:val="center"/>
          </w:tcPr>
          <w:p w14:paraId="0D5347ED">
            <w:pPr>
              <w:jc w:val="center"/>
              <w:rPr>
                <w:rFonts w:hint="eastAsia" w:ascii="宋体" w:hAnsi="宋体" w:eastAsia="宋体" w:cs="宋体"/>
                <w:szCs w:val="21"/>
              </w:rPr>
            </w:pPr>
            <w:r>
              <w:rPr>
                <w:rFonts w:hint="eastAsia" w:ascii="宋体" w:hAnsi="宋体" w:eastAsia="宋体" w:cs="宋体"/>
                <w:szCs w:val="21"/>
              </w:rPr>
              <w:t>便携式非甲烷总烃检测仪</w:t>
            </w:r>
          </w:p>
        </w:tc>
        <w:tc>
          <w:tcPr>
            <w:tcW w:w="2295" w:type="dxa"/>
            <w:shd w:val="clear" w:color="auto" w:fill="FFFFFF"/>
            <w:tcMar>
              <w:top w:w="0" w:type="dxa"/>
              <w:right w:w="0" w:type="dxa"/>
            </w:tcMar>
            <w:vAlign w:val="center"/>
          </w:tcPr>
          <w:p w14:paraId="00154D32">
            <w:pPr>
              <w:jc w:val="center"/>
              <w:rPr>
                <w:rFonts w:hint="eastAsia" w:ascii="宋体" w:hAnsi="宋体" w:eastAsia="宋体" w:cs="宋体"/>
                <w:szCs w:val="21"/>
              </w:rPr>
            </w:pPr>
            <w:r>
              <w:rPr>
                <w:rFonts w:hint="eastAsia" w:ascii="宋体" w:hAnsi="宋体" w:eastAsia="宋体" w:cs="宋体"/>
                <w:szCs w:val="21"/>
              </w:rPr>
              <w:t>A02100499</w:t>
            </w:r>
          </w:p>
        </w:tc>
        <w:tc>
          <w:tcPr>
            <w:tcW w:w="988" w:type="dxa"/>
            <w:shd w:val="clear" w:color="auto" w:fill="FFFFFF"/>
            <w:tcMar>
              <w:top w:w="0" w:type="dxa"/>
              <w:right w:w="0" w:type="dxa"/>
            </w:tcMar>
            <w:vAlign w:val="center"/>
          </w:tcPr>
          <w:p w14:paraId="07DAF8F7">
            <w:pPr>
              <w:jc w:val="center"/>
              <w:rPr>
                <w:rFonts w:hint="eastAsia" w:ascii="宋体" w:hAnsi="宋体" w:eastAsia="宋体" w:cs="宋体"/>
                <w:szCs w:val="21"/>
              </w:rPr>
            </w:pPr>
            <w:r>
              <w:rPr>
                <w:rFonts w:hint="eastAsia" w:ascii="宋体" w:hAnsi="宋体" w:eastAsia="宋体" w:cs="宋体"/>
                <w:szCs w:val="21"/>
              </w:rPr>
              <w:t>（台/套）</w:t>
            </w:r>
          </w:p>
        </w:tc>
        <w:tc>
          <w:tcPr>
            <w:tcW w:w="660" w:type="dxa"/>
            <w:shd w:val="clear" w:color="auto" w:fill="FFFFFF"/>
            <w:tcMar>
              <w:top w:w="0" w:type="dxa"/>
              <w:right w:w="0" w:type="dxa"/>
            </w:tcMar>
            <w:vAlign w:val="center"/>
          </w:tcPr>
          <w:p w14:paraId="2AFE4A41">
            <w:pPr>
              <w:jc w:val="center"/>
              <w:rPr>
                <w:rFonts w:hint="eastAsia" w:ascii="宋体" w:hAnsi="宋体" w:eastAsia="宋体" w:cs="宋体"/>
                <w:szCs w:val="21"/>
              </w:rPr>
            </w:pPr>
            <w:r>
              <w:rPr>
                <w:rFonts w:hint="eastAsia" w:ascii="宋体" w:hAnsi="宋体" w:eastAsia="宋体" w:cs="宋体"/>
                <w:szCs w:val="21"/>
              </w:rPr>
              <w:t>1</w:t>
            </w:r>
          </w:p>
        </w:tc>
        <w:tc>
          <w:tcPr>
            <w:tcW w:w="705" w:type="dxa"/>
            <w:shd w:val="clear" w:color="auto" w:fill="FFFFFF"/>
            <w:vAlign w:val="center"/>
          </w:tcPr>
          <w:p w14:paraId="76A62E99">
            <w:pPr>
              <w:jc w:val="center"/>
              <w:rPr>
                <w:rFonts w:hint="eastAsia" w:ascii="宋体" w:hAnsi="宋体" w:eastAsia="宋体" w:cs="宋体"/>
                <w:szCs w:val="21"/>
              </w:rPr>
            </w:pPr>
          </w:p>
        </w:tc>
        <w:tc>
          <w:tcPr>
            <w:tcW w:w="1095" w:type="dxa"/>
            <w:shd w:val="clear" w:color="auto" w:fill="FFFFFF"/>
            <w:tcMar>
              <w:top w:w="0" w:type="dxa"/>
              <w:right w:w="0" w:type="dxa"/>
            </w:tcMar>
            <w:vAlign w:val="center"/>
          </w:tcPr>
          <w:p w14:paraId="23CA2DD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否</w:t>
            </w:r>
          </w:p>
        </w:tc>
      </w:tr>
      <w:tr w14:paraId="52E4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dxa"/>
            <w:shd w:val="clear" w:color="auto" w:fill="FFFFFF"/>
            <w:tcMar>
              <w:top w:w="0" w:type="dxa"/>
              <w:right w:w="0" w:type="dxa"/>
            </w:tcMar>
            <w:vAlign w:val="center"/>
          </w:tcPr>
          <w:p w14:paraId="6B1BAAE9">
            <w:pPr>
              <w:jc w:val="center"/>
              <w:rPr>
                <w:rFonts w:hint="eastAsia" w:ascii="宋体" w:hAnsi="宋体" w:eastAsia="宋体" w:cs="宋体"/>
                <w:szCs w:val="21"/>
              </w:rPr>
            </w:pPr>
            <w:r>
              <w:rPr>
                <w:rFonts w:hint="eastAsia" w:ascii="宋体" w:hAnsi="宋体" w:eastAsia="宋体" w:cs="宋体"/>
                <w:szCs w:val="21"/>
              </w:rPr>
              <w:t>6</w:t>
            </w:r>
          </w:p>
        </w:tc>
        <w:tc>
          <w:tcPr>
            <w:tcW w:w="3330" w:type="dxa"/>
            <w:shd w:val="clear" w:color="auto" w:fill="FFFFFF"/>
            <w:tcMar>
              <w:top w:w="0" w:type="dxa"/>
              <w:right w:w="0" w:type="dxa"/>
            </w:tcMar>
            <w:vAlign w:val="center"/>
          </w:tcPr>
          <w:p w14:paraId="1325B35A">
            <w:pPr>
              <w:jc w:val="center"/>
              <w:rPr>
                <w:rFonts w:hint="eastAsia" w:ascii="宋体" w:hAnsi="宋体" w:eastAsia="宋体" w:cs="宋体"/>
                <w:szCs w:val="21"/>
              </w:rPr>
            </w:pPr>
            <w:r>
              <w:rPr>
                <w:rFonts w:hint="eastAsia" w:ascii="宋体" w:hAnsi="宋体" w:eastAsia="宋体" w:cs="宋体"/>
                <w:szCs w:val="21"/>
              </w:rPr>
              <w:t>便携式甲醛检测仪</w:t>
            </w:r>
          </w:p>
        </w:tc>
        <w:tc>
          <w:tcPr>
            <w:tcW w:w="2295" w:type="dxa"/>
            <w:shd w:val="clear" w:color="auto" w:fill="FFFFFF"/>
            <w:tcMar>
              <w:top w:w="0" w:type="dxa"/>
              <w:right w:w="0" w:type="dxa"/>
            </w:tcMar>
            <w:vAlign w:val="center"/>
          </w:tcPr>
          <w:p w14:paraId="361B77D8">
            <w:pPr>
              <w:jc w:val="center"/>
              <w:rPr>
                <w:rFonts w:hint="eastAsia" w:ascii="宋体" w:hAnsi="宋体" w:eastAsia="宋体" w:cs="宋体"/>
                <w:szCs w:val="21"/>
              </w:rPr>
            </w:pPr>
            <w:r>
              <w:rPr>
                <w:rFonts w:hint="eastAsia" w:ascii="宋体" w:hAnsi="宋体" w:eastAsia="宋体" w:cs="宋体"/>
                <w:szCs w:val="21"/>
              </w:rPr>
              <w:t>A02100499</w:t>
            </w:r>
          </w:p>
        </w:tc>
        <w:tc>
          <w:tcPr>
            <w:tcW w:w="988" w:type="dxa"/>
            <w:shd w:val="clear" w:color="auto" w:fill="FFFFFF"/>
            <w:tcMar>
              <w:top w:w="0" w:type="dxa"/>
              <w:right w:w="0" w:type="dxa"/>
            </w:tcMar>
            <w:vAlign w:val="center"/>
          </w:tcPr>
          <w:p w14:paraId="0572AB07">
            <w:pPr>
              <w:jc w:val="center"/>
              <w:rPr>
                <w:rFonts w:hint="eastAsia" w:ascii="宋体" w:hAnsi="宋体" w:eastAsia="宋体" w:cs="宋体"/>
                <w:szCs w:val="21"/>
              </w:rPr>
            </w:pPr>
            <w:r>
              <w:rPr>
                <w:rFonts w:hint="eastAsia" w:ascii="宋体" w:hAnsi="宋体" w:eastAsia="宋体" w:cs="宋体"/>
                <w:szCs w:val="21"/>
              </w:rPr>
              <w:t>（台/套）</w:t>
            </w:r>
          </w:p>
        </w:tc>
        <w:tc>
          <w:tcPr>
            <w:tcW w:w="660" w:type="dxa"/>
            <w:shd w:val="clear" w:color="auto" w:fill="FFFFFF"/>
            <w:tcMar>
              <w:top w:w="0" w:type="dxa"/>
              <w:right w:w="0" w:type="dxa"/>
            </w:tcMar>
            <w:vAlign w:val="center"/>
          </w:tcPr>
          <w:p w14:paraId="562AC3AE">
            <w:pPr>
              <w:jc w:val="center"/>
              <w:rPr>
                <w:rFonts w:hint="eastAsia" w:ascii="宋体" w:hAnsi="宋体" w:eastAsia="宋体" w:cs="宋体"/>
                <w:szCs w:val="21"/>
              </w:rPr>
            </w:pPr>
            <w:r>
              <w:rPr>
                <w:rFonts w:hint="eastAsia" w:ascii="宋体" w:hAnsi="宋体" w:eastAsia="宋体" w:cs="宋体"/>
                <w:szCs w:val="21"/>
                <w:lang w:val="en-US" w:eastAsia="zh-CN"/>
              </w:rPr>
              <w:t>2</w:t>
            </w:r>
          </w:p>
        </w:tc>
        <w:tc>
          <w:tcPr>
            <w:tcW w:w="705" w:type="dxa"/>
            <w:shd w:val="clear" w:color="auto" w:fill="FFFFFF"/>
            <w:vAlign w:val="center"/>
          </w:tcPr>
          <w:p w14:paraId="05EDB277">
            <w:pPr>
              <w:jc w:val="center"/>
              <w:rPr>
                <w:rFonts w:hint="eastAsia" w:ascii="宋体" w:hAnsi="宋体" w:eastAsia="宋体" w:cs="宋体"/>
                <w:szCs w:val="21"/>
              </w:rPr>
            </w:pPr>
          </w:p>
        </w:tc>
        <w:tc>
          <w:tcPr>
            <w:tcW w:w="1095" w:type="dxa"/>
            <w:shd w:val="clear" w:color="auto" w:fill="FFFFFF"/>
            <w:tcMar>
              <w:top w:w="0" w:type="dxa"/>
              <w:right w:w="0" w:type="dxa"/>
            </w:tcMar>
            <w:vAlign w:val="center"/>
          </w:tcPr>
          <w:p w14:paraId="47F1C21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否</w:t>
            </w:r>
          </w:p>
        </w:tc>
      </w:tr>
      <w:tr w14:paraId="1306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dxa"/>
            <w:shd w:val="clear" w:color="auto" w:fill="FFFFFF"/>
            <w:tcMar>
              <w:top w:w="0" w:type="dxa"/>
              <w:right w:w="0" w:type="dxa"/>
            </w:tcMar>
            <w:vAlign w:val="center"/>
          </w:tcPr>
          <w:p w14:paraId="250AD1C6">
            <w:pPr>
              <w:jc w:val="center"/>
              <w:rPr>
                <w:rFonts w:hint="eastAsia" w:ascii="宋体" w:hAnsi="宋体" w:eastAsia="宋体" w:cs="宋体"/>
                <w:szCs w:val="21"/>
              </w:rPr>
            </w:pPr>
            <w:r>
              <w:rPr>
                <w:rFonts w:hint="eastAsia" w:ascii="宋体" w:hAnsi="宋体" w:eastAsia="宋体" w:cs="宋体"/>
                <w:szCs w:val="21"/>
              </w:rPr>
              <w:t>7</w:t>
            </w:r>
          </w:p>
        </w:tc>
        <w:tc>
          <w:tcPr>
            <w:tcW w:w="3330" w:type="dxa"/>
            <w:shd w:val="clear" w:color="auto" w:fill="FFFFFF"/>
            <w:tcMar>
              <w:top w:w="0" w:type="dxa"/>
              <w:right w:w="0" w:type="dxa"/>
            </w:tcMar>
            <w:vAlign w:val="center"/>
          </w:tcPr>
          <w:p w14:paraId="086F10CD">
            <w:pPr>
              <w:jc w:val="center"/>
              <w:rPr>
                <w:rFonts w:hint="eastAsia" w:ascii="宋体" w:hAnsi="宋体" w:eastAsia="宋体" w:cs="宋体"/>
                <w:szCs w:val="21"/>
              </w:rPr>
            </w:pPr>
            <w:r>
              <w:rPr>
                <w:rFonts w:hint="eastAsia" w:ascii="宋体" w:hAnsi="宋体" w:eastAsia="宋体" w:cs="宋体"/>
                <w:szCs w:val="21"/>
              </w:rPr>
              <w:t>气象多参数测定仪</w:t>
            </w:r>
          </w:p>
        </w:tc>
        <w:tc>
          <w:tcPr>
            <w:tcW w:w="2295" w:type="dxa"/>
            <w:shd w:val="clear" w:color="auto" w:fill="FFFFFF"/>
            <w:tcMar>
              <w:top w:w="0" w:type="dxa"/>
              <w:right w:w="0" w:type="dxa"/>
            </w:tcMar>
            <w:vAlign w:val="center"/>
          </w:tcPr>
          <w:p w14:paraId="3B90CBB5">
            <w:pPr>
              <w:jc w:val="center"/>
              <w:rPr>
                <w:rFonts w:hint="eastAsia" w:ascii="宋体" w:hAnsi="宋体" w:eastAsia="宋体" w:cs="宋体"/>
                <w:szCs w:val="21"/>
              </w:rPr>
            </w:pPr>
            <w:r>
              <w:rPr>
                <w:rFonts w:hint="eastAsia" w:ascii="宋体" w:hAnsi="宋体" w:eastAsia="宋体" w:cs="宋体"/>
                <w:szCs w:val="21"/>
              </w:rPr>
              <w:t>A02100499</w:t>
            </w:r>
          </w:p>
        </w:tc>
        <w:tc>
          <w:tcPr>
            <w:tcW w:w="988" w:type="dxa"/>
            <w:shd w:val="clear" w:color="auto" w:fill="FFFFFF"/>
            <w:tcMar>
              <w:top w:w="0" w:type="dxa"/>
              <w:right w:w="0" w:type="dxa"/>
            </w:tcMar>
            <w:vAlign w:val="center"/>
          </w:tcPr>
          <w:p w14:paraId="2D06A560">
            <w:pPr>
              <w:jc w:val="center"/>
              <w:rPr>
                <w:rFonts w:hint="eastAsia" w:ascii="宋体" w:hAnsi="宋体" w:eastAsia="宋体" w:cs="宋体"/>
                <w:szCs w:val="21"/>
              </w:rPr>
            </w:pPr>
            <w:r>
              <w:rPr>
                <w:rFonts w:hint="eastAsia" w:ascii="宋体" w:hAnsi="宋体" w:eastAsia="宋体" w:cs="宋体"/>
                <w:szCs w:val="21"/>
              </w:rPr>
              <w:t>（台/套）</w:t>
            </w:r>
          </w:p>
        </w:tc>
        <w:tc>
          <w:tcPr>
            <w:tcW w:w="660" w:type="dxa"/>
            <w:shd w:val="clear" w:color="auto" w:fill="FFFFFF"/>
            <w:tcMar>
              <w:top w:w="0" w:type="dxa"/>
              <w:right w:w="0" w:type="dxa"/>
            </w:tcMar>
            <w:vAlign w:val="center"/>
          </w:tcPr>
          <w:p w14:paraId="39C36A6F">
            <w:pPr>
              <w:jc w:val="center"/>
              <w:rPr>
                <w:rFonts w:hint="eastAsia" w:ascii="宋体" w:hAnsi="宋体" w:eastAsia="宋体" w:cs="宋体"/>
                <w:szCs w:val="21"/>
              </w:rPr>
            </w:pPr>
            <w:r>
              <w:rPr>
                <w:rFonts w:hint="eastAsia" w:ascii="宋体" w:hAnsi="宋体" w:eastAsia="宋体" w:cs="宋体"/>
                <w:szCs w:val="21"/>
                <w:lang w:val="en-US" w:eastAsia="zh-CN"/>
              </w:rPr>
              <w:t>2</w:t>
            </w:r>
          </w:p>
        </w:tc>
        <w:tc>
          <w:tcPr>
            <w:tcW w:w="705" w:type="dxa"/>
            <w:shd w:val="clear" w:color="auto" w:fill="FFFFFF"/>
            <w:vAlign w:val="center"/>
          </w:tcPr>
          <w:p w14:paraId="1205FECF">
            <w:pPr>
              <w:jc w:val="center"/>
              <w:rPr>
                <w:rFonts w:hint="eastAsia" w:ascii="宋体" w:hAnsi="宋体" w:eastAsia="宋体" w:cs="宋体"/>
                <w:szCs w:val="21"/>
              </w:rPr>
            </w:pPr>
          </w:p>
        </w:tc>
        <w:tc>
          <w:tcPr>
            <w:tcW w:w="1095" w:type="dxa"/>
            <w:shd w:val="clear" w:color="auto" w:fill="FFFFFF"/>
            <w:tcMar>
              <w:top w:w="0" w:type="dxa"/>
              <w:right w:w="0" w:type="dxa"/>
            </w:tcMar>
            <w:vAlign w:val="center"/>
          </w:tcPr>
          <w:p w14:paraId="06111E4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否</w:t>
            </w:r>
          </w:p>
        </w:tc>
      </w:tr>
      <w:tr w14:paraId="1221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dxa"/>
            <w:shd w:val="clear" w:color="auto" w:fill="FFFFFF"/>
            <w:tcMar>
              <w:top w:w="0" w:type="dxa"/>
              <w:right w:w="0" w:type="dxa"/>
            </w:tcMar>
            <w:vAlign w:val="center"/>
          </w:tcPr>
          <w:p w14:paraId="7C892E7C">
            <w:pPr>
              <w:jc w:val="center"/>
              <w:rPr>
                <w:rFonts w:hint="eastAsia" w:ascii="宋体" w:hAnsi="宋体" w:eastAsia="宋体" w:cs="宋体"/>
                <w:szCs w:val="21"/>
              </w:rPr>
            </w:pPr>
            <w:r>
              <w:rPr>
                <w:rFonts w:hint="eastAsia" w:ascii="宋体" w:hAnsi="宋体" w:eastAsia="宋体" w:cs="宋体"/>
                <w:szCs w:val="21"/>
              </w:rPr>
              <w:t>8</w:t>
            </w:r>
          </w:p>
        </w:tc>
        <w:tc>
          <w:tcPr>
            <w:tcW w:w="3330" w:type="dxa"/>
            <w:shd w:val="clear" w:color="auto" w:fill="FFFFFF"/>
            <w:tcMar>
              <w:top w:w="0" w:type="dxa"/>
              <w:right w:w="0" w:type="dxa"/>
            </w:tcMar>
            <w:vAlign w:val="center"/>
          </w:tcPr>
          <w:p w14:paraId="482DDFE2">
            <w:pPr>
              <w:jc w:val="center"/>
              <w:rPr>
                <w:rFonts w:hint="eastAsia" w:ascii="宋体" w:hAnsi="宋体" w:eastAsia="宋体" w:cs="宋体"/>
                <w:szCs w:val="21"/>
              </w:rPr>
            </w:pPr>
            <w:r>
              <w:rPr>
                <w:rFonts w:hint="eastAsia" w:ascii="宋体" w:hAnsi="宋体" w:eastAsia="宋体" w:cs="宋体"/>
                <w:szCs w:val="21"/>
              </w:rPr>
              <w:t>烟气黑度仪</w:t>
            </w:r>
          </w:p>
        </w:tc>
        <w:tc>
          <w:tcPr>
            <w:tcW w:w="2295" w:type="dxa"/>
            <w:shd w:val="clear" w:color="auto" w:fill="FFFFFF"/>
            <w:tcMar>
              <w:top w:w="0" w:type="dxa"/>
              <w:right w:w="0" w:type="dxa"/>
            </w:tcMar>
            <w:vAlign w:val="center"/>
          </w:tcPr>
          <w:p w14:paraId="29C7BF6D">
            <w:pPr>
              <w:jc w:val="center"/>
              <w:rPr>
                <w:rFonts w:hint="eastAsia" w:ascii="宋体" w:hAnsi="宋体" w:eastAsia="宋体" w:cs="宋体"/>
                <w:szCs w:val="21"/>
              </w:rPr>
            </w:pPr>
            <w:r>
              <w:rPr>
                <w:rFonts w:hint="eastAsia" w:ascii="宋体" w:hAnsi="宋体" w:eastAsia="宋体" w:cs="宋体"/>
                <w:szCs w:val="21"/>
              </w:rPr>
              <w:t>A02100499</w:t>
            </w:r>
          </w:p>
        </w:tc>
        <w:tc>
          <w:tcPr>
            <w:tcW w:w="988" w:type="dxa"/>
            <w:shd w:val="clear" w:color="auto" w:fill="FFFFFF"/>
            <w:tcMar>
              <w:top w:w="0" w:type="dxa"/>
              <w:right w:w="0" w:type="dxa"/>
            </w:tcMar>
            <w:vAlign w:val="center"/>
          </w:tcPr>
          <w:p w14:paraId="5E88D73D">
            <w:pPr>
              <w:jc w:val="center"/>
              <w:rPr>
                <w:rFonts w:hint="eastAsia" w:ascii="宋体" w:hAnsi="宋体" w:eastAsia="宋体" w:cs="宋体"/>
                <w:szCs w:val="21"/>
              </w:rPr>
            </w:pPr>
            <w:r>
              <w:rPr>
                <w:rFonts w:hint="eastAsia" w:ascii="宋体" w:hAnsi="宋体" w:eastAsia="宋体" w:cs="宋体"/>
                <w:szCs w:val="21"/>
              </w:rPr>
              <w:t>（台/套）</w:t>
            </w:r>
          </w:p>
        </w:tc>
        <w:tc>
          <w:tcPr>
            <w:tcW w:w="660" w:type="dxa"/>
            <w:shd w:val="clear" w:color="auto" w:fill="FFFFFF"/>
            <w:tcMar>
              <w:top w:w="0" w:type="dxa"/>
              <w:right w:w="0" w:type="dxa"/>
            </w:tcMar>
            <w:vAlign w:val="center"/>
          </w:tcPr>
          <w:p w14:paraId="2733CBDD">
            <w:pPr>
              <w:jc w:val="center"/>
              <w:rPr>
                <w:rFonts w:hint="eastAsia" w:ascii="宋体" w:hAnsi="宋体" w:eastAsia="宋体" w:cs="宋体"/>
                <w:szCs w:val="21"/>
              </w:rPr>
            </w:pPr>
            <w:r>
              <w:rPr>
                <w:rFonts w:hint="eastAsia" w:ascii="宋体" w:hAnsi="宋体" w:eastAsia="宋体" w:cs="宋体"/>
                <w:szCs w:val="21"/>
                <w:lang w:val="en-US" w:eastAsia="zh-CN"/>
              </w:rPr>
              <w:t>2</w:t>
            </w:r>
          </w:p>
        </w:tc>
        <w:tc>
          <w:tcPr>
            <w:tcW w:w="705" w:type="dxa"/>
            <w:shd w:val="clear" w:color="auto" w:fill="FFFFFF"/>
            <w:vAlign w:val="center"/>
          </w:tcPr>
          <w:p w14:paraId="1E3F2DE4">
            <w:pPr>
              <w:jc w:val="center"/>
              <w:rPr>
                <w:rFonts w:hint="eastAsia" w:ascii="宋体" w:hAnsi="宋体" w:eastAsia="宋体" w:cs="宋体"/>
                <w:szCs w:val="21"/>
              </w:rPr>
            </w:pPr>
          </w:p>
        </w:tc>
        <w:tc>
          <w:tcPr>
            <w:tcW w:w="1095" w:type="dxa"/>
            <w:shd w:val="clear" w:color="auto" w:fill="FFFFFF"/>
            <w:tcMar>
              <w:top w:w="0" w:type="dxa"/>
              <w:right w:w="0" w:type="dxa"/>
            </w:tcMar>
            <w:vAlign w:val="center"/>
          </w:tcPr>
          <w:p w14:paraId="21D6744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否</w:t>
            </w:r>
          </w:p>
        </w:tc>
      </w:tr>
      <w:tr w14:paraId="5E87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dxa"/>
            <w:shd w:val="clear" w:color="auto" w:fill="FFFFFF"/>
            <w:tcMar>
              <w:top w:w="0" w:type="dxa"/>
              <w:right w:w="0" w:type="dxa"/>
            </w:tcMar>
            <w:vAlign w:val="center"/>
          </w:tcPr>
          <w:p w14:paraId="78D20CBF">
            <w:pPr>
              <w:jc w:val="center"/>
              <w:rPr>
                <w:rFonts w:hint="eastAsia" w:ascii="宋体" w:hAnsi="宋体" w:eastAsia="宋体" w:cs="宋体"/>
                <w:szCs w:val="21"/>
              </w:rPr>
            </w:pPr>
            <w:r>
              <w:rPr>
                <w:rFonts w:hint="eastAsia" w:ascii="宋体" w:hAnsi="宋体" w:eastAsia="宋体" w:cs="宋体"/>
                <w:szCs w:val="21"/>
              </w:rPr>
              <w:t>9</w:t>
            </w:r>
          </w:p>
        </w:tc>
        <w:tc>
          <w:tcPr>
            <w:tcW w:w="3330" w:type="dxa"/>
            <w:shd w:val="clear" w:color="auto" w:fill="FFFFFF"/>
            <w:tcMar>
              <w:top w:w="0" w:type="dxa"/>
              <w:right w:w="0" w:type="dxa"/>
            </w:tcMar>
            <w:vAlign w:val="center"/>
          </w:tcPr>
          <w:p w14:paraId="4D22144D">
            <w:pPr>
              <w:jc w:val="center"/>
              <w:rPr>
                <w:rFonts w:hint="eastAsia" w:ascii="宋体" w:hAnsi="宋体" w:eastAsia="宋体" w:cs="宋体"/>
                <w:szCs w:val="21"/>
              </w:rPr>
            </w:pPr>
            <w:r>
              <w:rPr>
                <w:rFonts w:hint="eastAsia" w:ascii="宋体" w:hAnsi="宋体" w:eastAsia="宋体" w:cs="宋体"/>
                <w:szCs w:val="21"/>
              </w:rPr>
              <w:t>多功能声级计</w:t>
            </w:r>
          </w:p>
        </w:tc>
        <w:tc>
          <w:tcPr>
            <w:tcW w:w="2295" w:type="dxa"/>
            <w:shd w:val="clear" w:color="auto" w:fill="FFFFFF"/>
            <w:tcMar>
              <w:top w:w="0" w:type="dxa"/>
              <w:right w:w="0" w:type="dxa"/>
            </w:tcMar>
            <w:vAlign w:val="center"/>
          </w:tcPr>
          <w:p w14:paraId="5165F190">
            <w:pPr>
              <w:jc w:val="center"/>
              <w:rPr>
                <w:rFonts w:hint="eastAsia" w:ascii="宋体" w:hAnsi="宋体" w:eastAsia="宋体" w:cs="宋体"/>
                <w:szCs w:val="21"/>
              </w:rPr>
            </w:pPr>
            <w:r>
              <w:rPr>
                <w:rFonts w:hint="eastAsia" w:ascii="宋体" w:hAnsi="宋体" w:eastAsia="宋体" w:cs="宋体"/>
                <w:szCs w:val="21"/>
              </w:rPr>
              <w:t>A02100499</w:t>
            </w:r>
          </w:p>
        </w:tc>
        <w:tc>
          <w:tcPr>
            <w:tcW w:w="988" w:type="dxa"/>
            <w:shd w:val="clear" w:color="auto" w:fill="FFFFFF"/>
            <w:tcMar>
              <w:top w:w="0" w:type="dxa"/>
              <w:right w:w="0" w:type="dxa"/>
            </w:tcMar>
            <w:vAlign w:val="center"/>
          </w:tcPr>
          <w:p w14:paraId="4CADC217">
            <w:pPr>
              <w:jc w:val="center"/>
              <w:rPr>
                <w:rFonts w:hint="eastAsia" w:ascii="宋体" w:hAnsi="宋体" w:eastAsia="宋体" w:cs="宋体"/>
                <w:szCs w:val="21"/>
              </w:rPr>
            </w:pPr>
            <w:r>
              <w:rPr>
                <w:rFonts w:hint="eastAsia" w:ascii="宋体" w:hAnsi="宋体" w:eastAsia="宋体" w:cs="宋体"/>
                <w:szCs w:val="21"/>
              </w:rPr>
              <w:t>（台/套）</w:t>
            </w:r>
          </w:p>
        </w:tc>
        <w:tc>
          <w:tcPr>
            <w:tcW w:w="660" w:type="dxa"/>
            <w:shd w:val="clear" w:color="auto" w:fill="FFFFFF"/>
            <w:tcMar>
              <w:top w:w="0" w:type="dxa"/>
              <w:right w:w="0" w:type="dxa"/>
            </w:tcMar>
            <w:vAlign w:val="center"/>
          </w:tcPr>
          <w:p w14:paraId="6602B3A4">
            <w:pPr>
              <w:jc w:val="center"/>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1</w:t>
            </w:r>
          </w:p>
        </w:tc>
        <w:tc>
          <w:tcPr>
            <w:tcW w:w="705" w:type="dxa"/>
            <w:shd w:val="clear" w:color="auto" w:fill="FFFFFF"/>
            <w:vAlign w:val="center"/>
          </w:tcPr>
          <w:p w14:paraId="79DD900C">
            <w:pPr>
              <w:jc w:val="center"/>
              <w:rPr>
                <w:rFonts w:hint="eastAsia" w:ascii="宋体" w:hAnsi="宋体" w:eastAsia="宋体" w:cs="宋体"/>
                <w:szCs w:val="21"/>
              </w:rPr>
            </w:pPr>
          </w:p>
        </w:tc>
        <w:tc>
          <w:tcPr>
            <w:tcW w:w="1095" w:type="dxa"/>
            <w:shd w:val="clear" w:color="auto" w:fill="FFFFFF"/>
            <w:tcMar>
              <w:top w:w="0" w:type="dxa"/>
              <w:right w:w="0" w:type="dxa"/>
            </w:tcMar>
            <w:vAlign w:val="center"/>
          </w:tcPr>
          <w:p w14:paraId="4910E0C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否</w:t>
            </w:r>
          </w:p>
        </w:tc>
      </w:tr>
    </w:tbl>
    <w:p w14:paraId="55C7D5C0">
      <w:pPr>
        <w:jc w:val="left"/>
        <w:rPr>
          <w:rFonts w:hint="eastAsia" w:ascii="宋体" w:hAnsi="宋体" w:eastAsia="宋体" w:cs="宋体"/>
          <w:szCs w:val="21"/>
        </w:rPr>
      </w:pPr>
      <w:r>
        <w:rPr>
          <w:rFonts w:hint="eastAsia" w:ascii="宋体" w:hAnsi="宋体" w:eastAsia="宋体" w:cs="宋体"/>
          <w:szCs w:val="21"/>
        </w:rPr>
        <w:t>注：</w:t>
      </w:r>
    </w:p>
    <w:p w14:paraId="2D488A66">
      <w:pPr>
        <w:ind w:firstLine="420" w:firstLineChars="200"/>
        <w:jc w:val="left"/>
        <w:rPr>
          <w:rFonts w:hint="eastAsia" w:ascii="宋体" w:hAnsi="宋体" w:eastAsia="宋体" w:cs="宋体"/>
          <w:szCs w:val="21"/>
        </w:rPr>
      </w:pPr>
      <w:r>
        <w:rPr>
          <w:rFonts w:hint="eastAsia" w:ascii="宋体" w:hAnsi="宋体" w:eastAsia="宋体" w:cs="宋体"/>
          <w:kern w:val="0"/>
          <w:szCs w:val="21"/>
        </w:rPr>
        <w:t>报价应为人民币含税全包价，包括货物、包装、运输、装卸、安装、调试、验收、培训、技术服务、质保期售后服务、税金等相关服务的可预见和不可预见的全部费用。釆购人不再支付除此之外的其它任何费用。供应商应对本项目内所有的要求进行报价，不允许只对项目其中部分进行报价。报价超过项目预算金额为无效报价。</w:t>
      </w:r>
    </w:p>
    <w:p w14:paraId="7318BBD5">
      <w:pPr>
        <w:rPr>
          <w:rFonts w:hint="eastAsia" w:ascii="宋体" w:hAnsi="宋体" w:eastAsia="宋体" w:cs="宋体"/>
          <w:b/>
          <w:bCs/>
          <w:szCs w:val="21"/>
        </w:rPr>
      </w:pPr>
    </w:p>
    <w:p w14:paraId="2257C4B3">
      <w:pPr>
        <w:rPr>
          <w:rFonts w:hint="eastAsia" w:ascii="宋体" w:hAnsi="宋体" w:eastAsia="宋体" w:cs="宋体"/>
          <w:szCs w:val="21"/>
        </w:rPr>
      </w:pPr>
      <w:r>
        <w:rPr>
          <w:rFonts w:hint="eastAsia" w:ascii="宋体" w:hAnsi="宋体" w:eastAsia="宋体" w:cs="宋体"/>
          <w:b/>
          <w:szCs w:val="21"/>
        </w:rPr>
        <w:t>1.主要商务要求</w:t>
      </w:r>
    </w:p>
    <w:p w14:paraId="18F2AF66">
      <w:pPr>
        <w:pStyle w:val="2"/>
      </w:pPr>
    </w:p>
    <w:tbl>
      <w:tblPr>
        <w:tblStyle w:val="22"/>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7884"/>
      </w:tblGrid>
      <w:tr w14:paraId="7867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192" w:type="dxa"/>
            <w:noWrap w:val="0"/>
            <w:vAlign w:val="top"/>
          </w:tcPr>
          <w:p w14:paraId="20B9BC8B">
            <w:pPr>
              <w:rPr>
                <w:rFonts w:hint="eastAsia" w:ascii="宋体" w:hAnsi="宋体" w:eastAsia="宋体" w:cs="宋体"/>
              </w:rPr>
            </w:pPr>
            <w:r>
              <w:rPr>
                <w:rFonts w:hint="eastAsia" w:ascii="宋体" w:hAnsi="宋体" w:eastAsia="宋体" w:cs="宋体"/>
              </w:rPr>
              <w:t>标的提供的时间</w:t>
            </w:r>
          </w:p>
        </w:tc>
        <w:tc>
          <w:tcPr>
            <w:tcW w:w="7884" w:type="dxa"/>
            <w:noWrap w:val="0"/>
            <w:vAlign w:val="center"/>
          </w:tcPr>
          <w:p w14:paraId="33364521">
            <w:pPr>
              <w:rPr>
                <w:rFonts w:hint="eastAsia" w:ascii="宋体" w:hAnsi="宋体" w:eastAsia="宋体" w:cs="宋体"/>
              </w:rPr>
            </w:pPr>
            <w:r>
              <w:rPr>
                <w:rFonts w:hint="eastAsia" w:ascii="宋体" w:hAnsi="宋体" w:eastAsia="宋体" w:cs="宋体"/>
                <w:lang w:val="en-US" w:eastAsia="zh-CN"/>
              </w:rPr>
              <w:t>合</w:t>
            </w:r>
            <w:r>
              <w:rPr>
                <w:rFonts w:hint="eastAsia" w:ascii="宋体" w:hAnsi="宋体" w:eastAsia="宋体" w:cs="宋体"/>
              </w:rPr>
              <w:t>同签订之日起60日历天内完成设备供货、安装、调试与验收</w:t>
            </w:r>
          </w:p>
        </w:tc>
      </w:tr>
      <w:tr w14:paraId="13DF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192" w:type="dxa"/>
            <w:noWrap w:val="0"/>
            <w:vAlign w:val="top"/>
          </w:tcPr>
          <w:p w14:paraId="18DD97DB">
            <w:pPr>
              <w:rPr>
                <w:rFonts w:hint="eastAsia" w:ascii="宋体" w:hAnsi="宋体" w:eastAsia="宋体" w:cs="宋体"/>
              </w:rPr>
            </w:pPr>
            <w:r>
              <w:rPr>
                <w:rFonts w:hint="eastAsia" w:ascii="宋体" w:hAnsi="宋体" w:eastAsia="宋体" w:cs="宋体"/>
              </w:rPr>
              <w:t>标的提供的地点</w:t>
            </w:r>
          </w:p>
        </w:tc>
        <w:tc>
          <w:tcPr>
            <w:tcW w:w="7884" w:type="dxa"/>
            <w:noWrap w:val="0"/>
            <w:vAlign w:val="top"/>
          </w:tcPr>
          <w:p w14:paraId="2877AA5D">
            <w:pPr>
              <w:rPr>
                <w:rFonts w:hint="eastAsia" w:ascii="宋体" w:hAnsi="宋体" w:eastAsia="宋体" w:cs="宋体"/>
              </w:rPr>
            </w:pPr>
            <w:r>
              <w:rPr>
                <w:rFonts w:hint="eastAsia" w:ascii="宋体" w:hAnsi="宋体" w:eastAsia="宋体" w:cs="宋体"/>
              </w:rPr>
              <w:t>采购人指定地点</w:t>
            </w:r>
          </w:p>
        </w:tc>
      </w:tr>
      <w:tr w14:paraId="49AD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192" w:type="dxa"/>
            <w:noWrap w:val="0"/>
            <w:vAlign w:val="top"/>
          </w:tcPr>
          <w:p w14:paraId="4B0146D6">
            <w:pPr>
              <w:rPr>
                <w:rFonts w:hint="eastAsia" w:ascii="宋体" w:hAnsi="宋体" w:eastAsia="宋体" w:cs="宋体"/>
              </w:rPr>
            </w:pPr>
            <w:r>
              <w:rPr>
                <w:rFonts w:hint="eastAsia" w:ascii="宋体" w:hAnsi="宋体" w:eastAsia="宋体" w:cs="宋体"/>
              </w:rPr>
              <w:t>付款方式</w:t>
            </w:r>
          </w:p>
        </w:tc>
        <w:tc>
          <w:tcPr>
            <w:tcW w:w="7884" w:type="dxa"/>
            <w:noWrap w:val="0"/>
            <w:vAlign w:val="top"/>
          </w:tcPr>
          <w:p w14:paraId="56BCACB7">
            <w:pPr>
              <w:rPr>
                <w:rFonts w:hint="eastAsia" w:ascii="宋体" w:hAnsi="宋体" w:eastAsia="宋体" w:cs="宋体"/>
              </w:rPr>
            </w:pPr>
            <w:r>
              <w:rPr>
                <w:rFonts w:hint="eastAsia" w:ascii="宋体" w:hAnsi="宋体" w:eastAsia="宋体" w:cs="宋体"/>
              </w:rPr>
              <w:t>1期：支付比例30%,合同签订后，采购人自收到中标供应商出具的与实际应付款数额相应金额正规发票后，5个工作日内采购人向中标供应商支付合同总价的30%。</w:t>
            </w:r>
          </w:p>
          <w:p w14:paraId="0E43494C">
            <w:pPr>
              <w:rPr>
                <w:rFonts w:hint="eastAsia" w:ascii="宋体" w:hAnsi="宋体" w:eastAsia="宋体" w:cs="宋体"/>
              </w:rPr>
            </w:pPr>
            <w:r>
              <w:rPr>
                <w:rFonts w:hint="eastAsia" w:ascii="宋体" w:hAnsi="宋体" w:eastAsia="宋体" w:cs="宋体"/>
              </w:rPr>
              <w:t>2期：支付比例70%,全部设备到达采购人指定交货地点并安（拼）装、调试，中标供应商与采购人协商验收，所有验收完成，且验收合格，并完成培训后，中标供应商可发起付款申请，采购人自收到中标供应商出具的与实际应付款数额相应金额正规发票后，10个工作日内采购人向中标供应商支付合同总价的70%。</w:t>
            </w:r>
          </w:p>
          <w:p w14:paraId="795BBC09">
            <w:pPr>
              <w:rPr>
                <w:rFonts w:hint="eastAsia" w:ascii="宋体" w:hAnsi="宋体" w:eastAsia="宋体" w:cs="宋体"/>
              </w:rPr>
            </w:pPr>
            <w:r>
              <w:rPr>
                <w:rFonts w:hint="eastAsia" w:ascii="宋体" w:hAnsi="宋体" w:eastAsia="宋体" w:cs="宋体"/>
              </w:rPr>
              <w:t>以上付款时间为采购人向政府采购支付部门提出支付由请的时间，不含政府财政支付部门审查时间，如因政府财政支付管理流程导致的支付延期，支付限期自动顺延，采购人不承担责任，中标供应商不得以此为由拒绝履行合同义务。</w:t>
            </w:r>
          </w:p>
        </w:tc>
      </w:tr>
      <w:tr w14:paraId="3282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2192" w:type="dxa"/>
            <w:noWrap w:val="0"/>
            <w:vAlign w:val="top"/>
          </w:tcPr>
          <w:p w14:paraId="5650D8D6">
            <w:pPr>
              <w:rPr>
                <w:rFonts w:hint="eastAsia" w:ascii="宋体" w:hAnsi="宋体" w:eastAsia="宋体" w:cs="宋体"/>
              </w:rPr>
            </w:pPr>
            <w:r>
              <w:rPr>
                <w:rFonts w:hint="eastAsia" w:ascii="宋体" w:hAnsi="宋体" w:eastAsia="宋体" w:cs="宋体"/>
              </w:rPr>
              <w:t>验收要求</w:t>
            </w:r>
          </w:p>
        </w:tc>
        <w:tc>
          <w:tcPr>
            <w:tcW w:w="7884" w:type="dxa"/>
            <w:noWrap w:val="0"/>
            <w:vAlign w:val="top"/>
          </w:tcPr>
          <w:p w14:paraId="04E995DF">
            <w:pPr>
              <w:rPr>
                <w:rFonts w:hint="eastAsia" w:ascii="宋体" w:hAnsi="宋体" w:eastAsia="宋体" w:cs="宋体"/>
              </w:rPr>
            </w:pPr>
            <w:r>
              <w:rPr>
                <w:rFonts w:hint="eastAsia" w:ascii="宋体" w:hAnsi="宋体" w:eastAsia="宋体" w:cs="宋体"/>
              </w:rPr>
              <w:t>1期：</w:t>
            </w:r>
          </w:p>
          <w:p w14:paraId="3FB42992">
            <w:pP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货物若有国家标准按照国家标准验收，若无国家标准按行业标准验收，为原制造商制造的全新产品，整机无污染，无侵权行为、表面无划损、无任何缺陷隐患，在中国境内可依常规安全合法使用。 </w:t>
            </w:r>
          </w:p>
          <w:p w14:paraId="59762C7B">
            <w:pPr>
              <w:rPr>
                <w:rFonts w:hint="eastAsia" w:ascii="宋体" w:hAnsi="宋体" w:eastAsia="宋体" w:cs="宋体"/>
              </w:rPr>
            </w:pPr>
            <w:r>
              <w:rPr>
                <w:rFonts w:hint="eastAsia" w:ascii="宋体" w:hAnsi="宋体" w:eastAsia="宋体" w:cs="宋体"/>
              </w:rPr>
              <w:t xml:space="preserve">（2）货物为原装未启封产品，具出厂合格证，包装箱号与出厂批号一致，并可追索查阅。所有随货物的附件必须齐全。 </w:t>
            </w:r>
          </w:p>
          <w:p w14:paraId="15201BF4">
            <w:pPr>
              <w:rPr>
                <w:rFonts w:hint="eastAsia" w:ascii="宋体" w:hAnsi="宋体" w:eastAsia="宋体" w:cs="宋体"/>
              </w:rPr>
            </w:pPr>
            <w:r>
              <w:rPr>
                <w:rFonts w:hint="eastAsia" w:ascii="宋体" w:hAnsi="宋体" w:eastAsia="宋体" w:cs="宋体"/>
              </w:rPr>
              <w:t xml:space="preserve">（3）验收时如发现所交付的设备有短缺、次品、损坏或其它不符合本合同规定之情形者，采购人应作出详尽的现场记录，或由采购人、中标供应商双方签署备忘录。此现场记录或备忘录可用作补充、缺失和更换损坏部件的有效证据。因此产生的有关费用由中标供应商承担。 </w:t>
            </w:r>
          </w:p>
          <w:p w14:paraId="1431E528">
            <w:pPr>
              <w:rPr>
                <w:rFonts w:hint="eastAsia" w:ascii="宋体" w:hAnsi="宋体" w:eastAsia="宋体" w:cs="宋体"/>
              </w:rPr>
            </w:pPr>
            <w:r>
              <w:rPr>
                <w:rFonts w:hint="eastAsia" w:ascii="宋体" w:hAnsi="宋体" w:eastAsia="宋体" w:cs="宋体"/>
              </w:rPr>
              <w:t>（4）如果合同设备运输和安装过程中因事故造成货物短缺、损坏，中标供应商应及时安排补货、换货，以保证合同设备安装的成功完成。换货的相关费用由中标供应商承担。</w:t>
            </w:r>
          </w:p>
        </w:tc>
      </w:tr>
      <w:tr w14:paraId="4DC6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192" w:type="dxa"/>
            <w:noWrap w:val="0"/>
            <w:vAlign w:val="top"/>
          </w:tcPr>
          <w:p w14:paraId="67BA1FDF">
            <w:pPr>
              <w:rPr>
                <w:rFonts w:hint="eastAsia" w:ascii="宋体" w:hAnsi="宋体" w:eastAsia="宋体" w:cs="宋体"/>
              </w:rPr>
            </w:pPr>
            <w:r>
              <w:rPr>
                <w:rFonts w:hint="eastAsia" w:ascii="宋体" w:hAnsi="宋体" w:eastAsia="宋体" w:cs="宋体"/>
              </w:rPr>
              <w:t>履约保证金</w:t>
            </w:r>
          </w:p>
        </w:tc>
        <w:tc>
          <w:tcPr>
            <w:tcW w:w="7884" w:type="dxa"/>
            <w:noWrap w:val="0"/>
            <w:vAlign w:val="top"/>
          </w:tcPr>
          <w:p w14:paraId="205B585D">
            <w:pPr>
              <w:rPr>
                <w:rFonts w:hint="eastAsia" w:ascii="宋体" w:hAnsi="宋体" w:eastAsia="宋体" w:cs="宋体"/>
              </w:rPr>
            </w:pPr>
            <w:r>
              <w:rPr>
                <w:rFonts w:hint="eastAsia" w:ascii="宋体" w:hAnsi="宋体" w:eastAsia="宋体" w:cs="宋体"/>
              </w:rPr>
              <w:t>不收取</w:t>
            </w:r>
          </w:p>
        </w:tc>
      </w:tr>
      <w:tr w14:paraId="2BAB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2" w:type="dxa"/>
            <w:noWrap w:val="0"/>
            <w:vAlign w:val="top"/>
          </w:tcPr>
          <w:p w14:paraId="1EF7ACB5">
            <w:pPr>
              <w:rPr>
                <w:rFonts w:hint="eastAsia" w:ascii="宋体" w:hAnsi="宋体" w:eastAsia="宋体" w:cs="宋体"/>
              </w:rPr>
            </w:pPr>
            <w:r>
              <w:rPr>
                <w:rFonts w:hint="eastAsia" w:ascii="宋体" w:hAnsi="宋体" w:eastAsia="宋体" w:cs="宋体"/>
              </w:rPr>
              <w:t>其他</w:t>
            </w:r>
          </w:p>
        </w:tc>
        <w:tc>
          <w:tcPr>
            <w:tcW w:w="7884" w:type="dxa"/>
            <w:noWrap w:val="0"/>
            <w:vAlign w:val="top"/>
          </w:tcPr>
          <w:p w14:paraId="7FCB1283">
            <w:pPr>
              <w:rPr>
                <w:rFonts w:hint="eastAsia" w:ascii="宋体" w:hAnsi="宋体" w:eastAsia="宋体" w:cs="宋体"/>
                <w:lang w:val="en-US" w:eastAsia="zh-CN"/>
              </w:rPr>
            </w:pPr>
            <w:r>
              <w:rPr>
                <w:rFonts w:hint="eastAsia" w:ascii="宋体" w:hAnsi="宋体" w:eastAsia="宋体" w:cs="宋体"/>
                <w:lang w:val="en-US" w:eastAsia="zh-CN"/>
              </w:rPr>
              <w:t>/</w:t>
            </w:r>
          </w:p>
        </w:tc>
      </w:tr>
    </w:tbl>
    <w:p w14:paraId="460A167F">
      <w:pPr>
        <w:rPr>
          <w:rFonts w:hint="eastAsia"/>
        </w:rPr>
      </w:pPr>
    </w:p>
    <w:p w14:paraId="15154B59">
      <w:pPr>
        <w:spacing w:line="360" w:lineRule="auto"/>
        <w:jc w:val="left"/>
        <w:rPr>
          <w:rFonts w:hint="eastAsia" w:ascii="宋体" w:hAnsi="宋体" w:eastAsia="宋体" w:cs="宋体"/>
          <w:b/>
          <w:bCs/>
          <w:szCs w:val="21"/>
        </w:rPr>
      </w:pPr>
      <w:r>
        <w:rPr>
          <w:rFonts w:hint="eastAsia" w:ascii="宋体" w:hAnsi="宋体" w:eastAsia="宋体" w:cs="宋体"/>
          <w:b/>
          <w:bCs/>
          <w:szCs w:val="21"/>
        </w:rPr>
        <w:t>其他商务要求</w:t>
      </w:r>
    </w:p>
    <w:tbl>
      <w:tblPr>
        <w:tblStyle w:val="22"/>
        <w:tblpPr w:leftFromText="180" w:rightFromText="180" w:vertAnchor="text" w:horzAnchor="page" w:tblpX="1012" w:tblpY="285"/>
        <w:tblOverlap w:val="never"/>
        <w:tblW w:w="1006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5"/>
        <w:gridCol w:w="550"/>
        <w:gridCol w:w="2529"/>
        <w:gridCol w:w="6051"/>
      </w:tblGrid>
      <w:tr w14:paraId="3B1273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5" w:type="dxa"/>
            <w:vAlign w:val="center"/>
          </w:tcPr>
          <w:p w14:paraId="59AFB18D">
            <w:pPr>
              <w:pStyle w:val="51"/>
              <w:jc w:val="both"/>
              <w:rPr>
                <w:rFonts w:hint="eastAsia" w:ascii="宋体" w:hAnsi="宋体" w:eastAsia="宋体" w:cs="宋体"/>
                <w:sz w:val="22"/>
                <w:szCs w:val="22"/>
              </w:rPr>
            </w:pPr>
            <w:r>
              <w:rPr>
                <w:rFonts w:hint="eastAsia" w:ascii="宋体" w:hAnsi="宋体" w:eastAsia="宋体" w:cs="宋体"/>
                <w:sz w:val="22"/>
                <w:szCs w:val="22"/>
              </w:rPr>
              <w:t>参数</w:t>
            </w:r>
          </w:p>
          <w:p w14:paraId="2AC93809">
            <w:pPr>
              <w:pStyle w:val="51"/>
              <w:jc w:val="both"/>
              <w:rPr>
                <w:rFonts w:hint="eastAsia" w:ascii="宋体" w:hAnsi="宋体" w:eastAsia="宋体" w:cs="宋体"/>
                <w:sz w:val="22"/>
                <w:szCs w:val="22"/>
              </w:rPr>
            </w:pPr>
            <w:r>
              <w:rPr>
                <w:rFonts w:hint="eastAsia" w:ascii="宋体" w:hAnsi="宋体" w:eastAsia="宋体" w:cs="宋体"/>
                <w:sz w:val="22"/>
                <w:szCs w:val="22"/>
              </w:rPr>
              <w:t>性质</w:t>
            </w:r>
          </w:p>
        </w:tc>
        <w:tc>
          <w:tcPr>
            <w:tcW w:w="550" w:type="dxa"/>
            <w:vAlign w:val="center"/>
          </w:tcPr>
          <w:p w14:paraId="1A583455">
            <w:pPr>
              <w:pStyle w:val="51"/>
              <w:jc w:val="both"/>
              <w:rPr>
                <w:rFonts w:hint="eastAsia" w:ascii="宋体" w:hAnsi="宋体" w:eastAsia="宋体" w:cs="宋体"/>
                <w:sz w:val="22"/>
                <w:szCs w:val="22"/>
              </w:rPr>
            </w:pPr>
            <w:r>
              <w:rPr>
                <w:rFonts w:hint="eastAsia" w:ascii="宋体" w:hAnsi="宋体" w:eastAsia="宋体" w:cs="宋体"/>
                <w:sz w:val="22"/>
                <w:szCs w:val="22"/>
              </w:rPr>
              <w:t>编号</w:t>
            </w:r>
          </w:p>
        </w:tc>
        <w:tc>
          <w:tcPr>
            <w:tcW w:w="2529" w:type="dxa"/>
            <w:vAlign w:val="center"/>
          </w:tcPr>
          <w:p w14:paraId="2246B0BF">
            <w:pPr>
              <w:pStyle w:val="51"/>
              <w:jc w:val="both"/>
              <w:rPr>
                <w:rFonts w:hint="eastAsia" w:ascii="宋体" w:hAnsi="宋体" w:eastAsia="宋体" w:cs="宋体"/>
                <w:sz w:val="22"/>
                <w:szCs w:val="22"/>
              </w:rPr>
            </w:pPr>
            <w:r>
              <w:rPr>
                <w:rFonts w:hint="eastAsia" w:ascii="宋体" w:hAnsi="宋体" w:eastAsia="宋体" w:cs="宋体"/>
                <w:sz w:val="22"/>
                <w:szCs w:val="22"/>
              </w:rPr>
              <w:t>内容明细</w:t>
            </w:r>
          </w:p>
        </w:tc>
        <w:tc>
          <w:tcPr>
            <w:tcW w:w="6051" w:type="dxa"/>
            <w:vAlign w:val="center"/>
          </w:tcPr>
          <w:p w14:paraId="4B86723A">
            <w:pPr>
              <w:pStyle w:val="51"/>
              <w:jc w:val="both"/>
              <w:rPr>
                <w:rFonts w:hint="eastAsia" w:ascii="宋体" w:hAnsi="宋体" w:eastAsia="宋体" w:cs="宋体"/>
                <w:sz w:val="22"/>
                <w:szCs w:val="22"/>
              </w:rPr>
            </w:pPr>
            <w:r>
              <w:rPr>
                <w:rFonts w:hint="eastAsia" w:ascii="宋体" w:hAnsi="宋体" w:eastAsia="宋体" w:cs="宋体"/>
                <w:sz w:val="22"/>
                <w:szCs w:val="22"/>
              </w:rPr>
              <w:t>内容说明</w:t>
            </w:r>
          </w:p>
        </w:tc>
      </w:tr>
      <w:tr w14:paraId="0C696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5" w:type="dxa"/>
          </w:tcPr>
          <w:p w14:paraId="0B90095A">
            <w:pPr>
              <w:rPr>
                <w:rFonts w:hint="eastAsia" w:ascii="宋体" w:hAnsi="宋体" w:eastAsia="宋体" w:cs="宋体"/>
                <w:sz w:val="22"/>
                <w:szCs w:val="22"/>
              </w:rPr>
            </w:pPr>
          </w:p>
        </w:tc>
        <w:tc>
          <w:tcPr>
            <w:tcW w:w="550" w:type="dxa"/>
          </w:tcPr>
          <w:p w14:paraId="75E59E67">
            <w:pPr>
              <w:pStyle w:val="51"/>
              <w:jc w:val="center"/>
              <w:rPr>
                <w:rFonts w:hint="eastAsia" w:ascii="宋体" w:hAnsi="宋体" w:eastAsia="宋体" w:cs="宋体"/>
                <w:sz w:val="22"/>
                <w:szCs w:val="22"/>
              </w:rPr>
            </w:pPr>
            <w:r>
              <w:rPr>
                <w:rFonts w:hint="eastAsia" w:ascii="宋体" w:hAnsi="宋体" w:eastAsia="宋体" w:cs="宋体"/>
                <w:sz w:val="22"/>
                <w:szCs w:val="22"/>
              </w:rPr>
              <w:t>1</w:t>
            </w:r>
          </w:p>
        </w:tc>
        <w:tc>
          <w:tcPr>
            <w:tcW w:w="2529" w:type="dxa"/>
          </w:tcPr>
          <w:p w14:paraId="4352D257">
            <w:pPr>
              <w:pStyle w:val="51"/>
              <w:jc w:val="left"/>
              <w:rPr>
                <w:rFonts w:hint="eastAsia" w:ascii="宋体" w:hAnsi="宋体" w:eastAsia="宋体" w:cs="宋体"/>
                <w:sz w:val="22"/>
                <w:szCs w:val="22"/>
              </w:rPr>
            </w:pPr>
            <w:r>
              <w:rPr>
                <w:rFonts w:hint="eastAsia" w:ascii="宋体" w:hAnsi="宋体" w:eastAsia="宋体" w:cs="宋体"/>
                <w:sz w:val="22"/>
                <w:szCs w:val="22"/>
                <w:lang w:eastAsia="zh-CN"/>
              </w:rPr>
              <w:t>（一）</w:t>
            </w:r>
            <w:r>
              <w:rPr>
                <w:rFonts w:hint="eastAsia" w:ascii="宋体" w:hAnsi="宋体" w:eastAsia="宋体" w:cs="宋体"/>
                <w:sz w:val="22"/>
                <w:szCs w:val="22"/>
              </w:rPr>
              <w:t>供货要求</w:t>
            </w:r>
          </w:p>
        </w:tc>
        <w:tc>
          <w:tcPr>
            <w:tcW w:w="6051" w:type="dxa"/>
          </w:tcPr>
          <w:p w14:paraId="5D44623E">
            <w:pPr>
              <w:pStyle w:val="51"/>
              <w:rPr>
                <w:rFonts w:hint="eastAsia" w:ascii="宋体" w:hAnsi="宋体" w:eastAsia="宋体" w:cs="宋体"/>
                <w:sz w:val="22"/>
                <w:szCs w:val="22"/>
              </w:rPr>
            </w:pPr>
            <w:r>
              <w:rPr>
                <w:rFonts w:hint="eastAsia" w:ascii="宋体" w:hAnsi="宋体" w:eastAsia="宋体" w:cs="宋体"/>
                <w:sz w:val="22"/>
                <w:szCs w:val="22"/>
              </w:rPr>
              <w:t>1、货物为原制造商制造的全新产品，整机无污染，无侵权行为、表面无划损、无任何缺陷隐患，在中国境内可依常规安全合法使用，具</w:t>
            </w:r>
            <w:r>
              <w:rPr>
                <w:rFonts w:hint="eastAsia" w:ascii="宋体" w:hAnsi="宋体" w:eastAsia="宋体" w:cs="宋体"/>
                <w:sz w:val="22"/>
                <w:szCs w:val="22"/>
                <w:lang w:eastAsia="zh-CN"/>
              </w:rPr>
              <w:t>出</w:t>
            </w:r>
            <w:r>
              <w:rPr>
                <w:rFonts w:hint="eastAsia" w:ascii="宋体" w:hAnsi="宋体" w:eastAsia="宋体" w:cs="宋体"/>
                <w:sz w:val="22"/>
                <w:szCs w:val="22"/>
              </w:rPr>
              <w:t xml:space="preserve">厂合格证。 </w:t>
            </w:r>
          </w:p>
          <w:p w14:paraId="5870DF18">
            <w:pPr>
              <w:pStyle w:val="51"/>
              <w:rPr>
                <w:rFonts w:hint="eastAsia" w:ascii="宋体" w:hAnsi="宋体" w:eastAsia="宋体" w:cs="宋体"/>
                <w:sz w:val="22"/>
                <w:szCs w:val="22"/>
              </w:rPr>
            </w:pPr>
            <w:r>
              <w:rPr>
                <w:rFonts w:hint="eastAsia" w:ascii="宋体" w:hAnsi="宋体" w:eastAsia="宋体" w:cs="宋体"/>
                <w:sz w:val="22"/>
                <w:szCs w:val="22"/>
              </w:rPr>
              <w:t>2、包装必须与运输方式相适应，中标供应商负责确定包装方式；由于不适当的包装造成货物在运输过程中有任何损坏由中标供应商负责。包装费、运费已包含在合同总价内。</w:t>
            </w:r>
          </w:p>
        </w:tc>
      </w:tr>
      <w:tr w14:paraId="706DF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5" w:type="dxa"/>
          </w:tcPr>
          <w:p w14:paraId="7D357411">
            <w:pPr>
              <w:pStyle w:val="51"/>
              <w:jc w:val="center"/>
              <w:rPr>
                <w:rFonts w:hint="eastAsia" w:ascii="宋体" w:hAnsi="宋体" w:eastAsia="宋体" w:cs="宋体"/>
                <w:sz w:val="22"/>
                <w:szCs w:val="22"/>
              </w:rPr>
            </w:pPr>
          </w:p>
        </w:tc>
        <w:tc>
          <w:tcPr>
            <w:tcW w:w="550" w:type="dxa"/>
          </w:tcPr>
          <w:p w14:paraId="52C2DCD3">
            <w:pPr>
              <w:pStyle w:val="51"/>
              <w:jc w:val="center"/>
              <w:rPr>
                <w:rFonts w:hint="eastAsia" w:ascii="宋体" w:hAnsi="宋体" w:eastAsia="宋体" w:cs="宋体"/>
                <w:sz w:val="22"/>
                <w:szCs w:val="22"/>
              </w:rPr>
            </w:pPr>
            <w:r>
              <w:rPr>
                <w:rFonts w:hint="eastAsia" w:ascii="宋体" w:hAnsi="宋体" w:eastAsia="宋体" w:cs="宋体"/>
                <w:sz w:val="22"/>
                <w:szCs w:val="22"/>
              </w:rPr>
              <w:t>2</w:t>
            </w:r>
          </w:p>
        </w:tc>
        <w:tc>
          <w:tcPr>
            <w:tcW w:w="2529" w:type="dxa"/>
          </w:tcPr>
          <w:p w14:paraId="48FFBDC5">
            <w:pPr>
              <w:pStyle w:val="51"/>
              <w:jc w:val="left"/>
              <w:rPr>
                <w:rFonts w:hint="eastAsia" w:ascii="宋体" w:hAnsi="宋体" w:eastAsia="宋体" w:cs="宋体"/>
                <w:sz w:val="22"/>
                <w:szCs w:val="22"/>
              </w:rPr>
            </w:pPr>
            <w:r>
              <w:rPr>
                <w:rFonts w:hint="eastAsia" w:ascii="宋体" w:hAnsi="宋体" w:eastAsia="宋体" w:cs="宋体"/>
                <w:sz w:val="22"/>
                <w:szCs w:val="22"/>
                <w:lang w:eastAsia="zh-CN"/>
              </w:rPr>
              <w:t>（二）</w:t>
            </w:r>
            <w:r>
              <w:rPr>
                <w:rFonts w:hint="eastAsia" w:ascii="宋体" w:hAnsi="宋体" w:eastAsia="宋体" w:cs="宋体"/>
                <w:sz w:val="22"/>
                <w:szCs w:val="22"/>
              </w:rPr>
              <w:t>安装调试与验收要求</w:t>
            </w:r>
          </w:p>
        </w:tc>
        <w:tc>
          <w:tcPr>
            <w:tcW w:w="6051" w:type="dxa"/>
          </w:tcPr>
          <w:p w14:paraId="646075F3">
            <w:pPr>
              <w:pStyle w:val="51"/>
              <w:jc w:val="left"/>
              <w:rPr>
                <w:rFonts w:hint="eastAsia" w:ascii="宋体" w:hAnsi="宋体" w:eastAsia="宋体" w:cs="宋体"/>
                <w:sz w:val="22"/>
                <w:szCs w:val="22"/>
              </w:rPr>
            </w:pPr>
            <w:r>
              <w:rPr>
                <w:rFonts w:hint="eastAsia" w:ascii="宋体" w:hAnsi="宋体" w:eastAsia="宋体" w:cs="宋体"/>
                <w:sz w:val="22"/>
                <w:szCs w:val="22"/>
              </w:rPr>
              <w:t xml:space="preserve"> 1、设备测试要求 </w:t>
            </w:r>
          </w:p>
          <w:p w14:paraId="17A77E6E">
            <w:pPr>
              <w:pStyle w:val="51"/>
              <w:jc w:val="left"/>
              <w:rPr>
                <w:rFonts w:hint="eastAsia" w:ascii="宋体" w:hAnsi="宋体" w:eastAsia="宋体" w:cs="宋体"/>
                <w:sz w:val="22"/>
                <w:szCs w:val="22"/>
              </w:rPr>
            </w:pPr>
            <w:r>
              <w:rPr>
                <w:rFonts w:hint="eastAsia" w:ascii="宋体" w:hAnsi="宋体" w:eastAsia="宋体" w:cs="宋体"/>
                <w:sz w:val="22"/>
                <w:szCs w:val="22"/>
              </w:rPr>
              <w:t xml:space="preserve">（1）中标供应商必须依照招标文件的要求和投标文件的承诺，将设备、系统安装并调试至正常运行的最佳状态。 </w:t>
            </w:r>
          </w:p>
          <w:p w14:paraId="548E0FC3">
            <w:pPr>
              <w:pStyle w:val="51"/>
              <w:jc w:val="left"/>
              <w:rPr>
                <w:rFonts w:hint="eastAsia" w:ascii="宋体" w:hAnsi="宋体" w:eastAsia="宋体" w:cs="宋体"/>
                <w:sz w:val="22"/>
                <w:szCs w:val="22"/>
              </w:rPr>
            </w:pPr>
            <w:r>
              <w:rPr>
                <w:rFonts w:hint="eastAsia" w:ascii="宋体" w:hAnsi="宋体" w:eastAsia="宋体" w:cs="宋体"/>
                <w:sz w:val="22"/>
                <w:szCs w:val="22"/>
              </w:rPr>
              <w:t xml:space="preserve">（2）设备按照完成、中标供应商自测运行正常，由中标供应商提出书面系统测试申请。提交测试的设备应是成熟产品。 （3）设备的测试标准根据合同内容、设备需求文本、设备需求规格说明书等。 </w:t>
            </w:r>
          </w:p>
          <w:p w14:paraId="5709F844">
            <w:pPr>
              <w:pStyle w:val="51"/>
              <w:jc w:val="left"/>
              <w:rPr>
                <w:rFonts w:hint="eastAsia" w:ascii="宋体" w:hAnsi="宋体" w:eastAsia="宋体" w:cs="宋体"/>
                <w:sz w:val="22"/>
                <w:szCs w:val="22"/>
              </w:rPr>
            </w:pPr>
            <w:r>
              <w:rPr>
                <w:rFonts w:hint="eastAsia" w:ascii="宋体" w:hAnsi="宋体" w:eastAsia="宋体" w:cs="宋体"/>
                <w:sz w:val="22"/>
                <w:szCs w:val="22"/>
              </w:rPr>
              <w:t xml:space="preserve">（4）中标供应商必须依照招标文件的要求和投标文件的承诺，将设备、系统安装并调试至正常运行的最佳状态。 </w:t>
            </w:r>
          </w:p>
          <w:p w14:paraId="44A38B09">
            <w:pPr>
              <w:pStyle w:val="51"/>
              <w:jc w:val="left"/>
              <w:rPr>
                <w:rFonts w:hint="eastAsia" w:ascii="宋体" w:hAnsi="宋体" w:eastAsia="宋体" w:cs="宋体"/>
                <w:sz w:val="22"/>
                <w:szCs w:val="22"/>
              </w:rPr>
            </w:pPr>
            <w:r>
              <w:rPr>
                <w:rFonts w:hint="eastAsia" w:ascii="宋体" w:hAnsi="宋体" w:eastAsia="宋体" w:cs="宋体"/>
                <w:sz w:val="22"/>
                <w:szCs w:val="22"/>
              </w:rPr>
              <w:t xml:space="preserve">（5）货物若有国家标准按照国家标准验收，若无国家标准按行业标准验收，为原制造商制造的全新产品，整机无污染，无侵权行为、表面无划损、无任何缺陷隐患，在中国境内可依常规安全合法使用。 </w:t>
            </w:r>
          </w:p>
          <w:p w14:paraId="074B1FBF">
            <w:pPr>
              <w:pStyle w:val="51"/>
              <w:jc w:val="left"/>
              <w:rPr>
                <w:rFonts w:hint="eastAsia" w:ascii="宋体" w:hAnsi="宋体" w:eastAsia="宋体" w:cs="宋体"/>
                <w:sz w:val="22"/>
                <w:szCs w:val="22"/>
              </w:rPr>
            </w:pPr>
            <w:r>
              <w:rPr>
                <w:rFonts w:hint="eastAsia" w:ascii="宋体" w:hAnsi="宋体" w:eastAsia="宋体" w:cs="宋体"/>
                <w:sz w:val="22"/>
                <w:szCs w:val="22"/>
              </w:rPr>
              <w:t xml:space="preserve">（6）货物为原厂商未启封全新包装，具出厂合格证，序列号、包装箱号与出厂批号一致，并可追索查阅。所有随设备的附件必须齐全。 </w:t>
            </w:r>
          </w:p>
          <w:p w14:paraId="15BFA61F">
            <w:pPr>
              <w:pStyle w:val="51"/>
              <w:jc w:val="left"/>
              <w:rPr>
                <w:rFonts w:hint="eastAsia" w:ascii="宋体" w:hAnsi="宋体" w:eastAsia="宋体" w:cs="宋体"/>
                <w:sz w:val="22"/>
                <w:szCs w:val="22"/>
              </w:rPr>
            </w:pPr>
            <w:r>
              <w:rPr>
                <w:rFonts w:hint="eastAsia" w:ascii="宋体" w:hAnsi="宋体" w:eastAsia="宋体" w:cs="宋体"/>
                <w:sz w:val="22"/>
                <w:szCs w:val="22"/>
              </w:rPr>
              <w:t>（7）中标供应商应将关键设备的用户手册、保修手册、有关单证资料及配备件、随机工具等交付给采购人，使用操作及安全须知等重要资料应附有中文说明。</w:t>
            </w:r>
          </w:p>
          <w:p w14:paraId="5D3CDD27">
            <w:pPr>
              <w:pStyle w:val="51"/>
              <w:jc w:val="left"/>
              <w:rPr>
                <w:rFonts w:hint="eastAsia" w:ascii="宋体" w:hAnsi="宋体" w:eastAsia="宋体" w:cs="宋体"/>
                <w:sz w:val="22"/>
                <w:szCs w:val="22"/>
              </w:rPr>
            </w:pPr>
            <w:r>
              <w:rPr>
                <w:rFonts w:hint="eastAsia" w:ascii="宋体" w:hAnsi="宋体" w:eastAsia="宋体" w:cs="宋体"/>
                <w:sz w:val="22"/>
                <w:szCs w:val="22"/>
              </w:rPr>
              <w:t xml:space="preserve">2、验收要求： </w:t>
            </w:r>
          </w:p>
          <w:p w14:paraId="6DD4050A">
            <w:pPr>
              <w:pStyle w:val="51"/>
              <w:jc w:val="left"/>
              <w:rPr>
                <w:rFonts w:hint="eastAsia" w:ascii="宋体" w:hAnsi="宋体" w:eastAsia="宋体" w:cs="宋体"/>
                <w:sz w:val="22"/>
                <w:szCs w:val="22"/>
              </w:rPr>
            </w:pPr>
            <w:r>
              <w:rPr>
                <w:rFonts w:hint="eastAsia" w:ascii="宋体" w:hAnsi="宋体" w:eastAsia="宋体" w:cs="宋体"/>
                <w:sz w:val="22"/>
                <w:szCs w:val="22"/>
              </w:rPr>
              <w:t xml:space="preserve">（1）货物若有国家标准按照国家标准验收，若无国家标准按行业标准验收，为原制造商制造的全新产品，整机无污染，无侵权行为、表面无划损、无任何缺陷隐患，在中国境内可依常规安全合法使用。 </w:t>
            </w:r>
          </w:p>
          <w:p w14:paraId="4075635B">
            <w:pPr>
              <w:pStyle w:val="51"/>
              <w:jc w:val="left"/>
              <w:rPr>
                <w:rFonts w:hint="eastAsia" w:ascii="宋体" w:hAnsi="宋体" w:eastAsia="宋体" w:cs="宋体"/>
                <w:sz w:val="22"/>
                <w:szCs w:val="22"/>
              </w:rPr>
            </w:pPr>
            <w:r>
              <w:rPr>
                <w:rFonts w:hint="eastAsia" w:ascii="宋体" w:hAnsi="宋体" w:eastAsia="宋体" w:cs="宋体"/>
                <w:sz w:val="22"/>
                <w:szCs w:val="22"/>
              </w:rPr>
              <w:t xml:space="preserve">（2）货物为原装未启封产品，具出厂合格证，包装箱号与出厂批号一致，并可追索查阅。所有随货物的附件必须齐全。 </w:t>
            </w:r>
          </w:p>
          <w:p w14:paraId="19D44732">
            <w:pPr>
              <w:pStyle w:val="51"/>
              <w:jc w:val="left"/>
              <w:rPr>
                <w:rFonts w:hint="eastAsia" w:ascii="宋体" w:hAnsi="宋体" w:eastAsia="宋体" w:cs="宋体"/>
                <w:sz w:val="22"/>
                <w:szCs w:val="22"/>
              </w:rPr>
            </w:pPr>
            <w:r>
              <w:rPr>
                <w:rFonts w:hint="eastAsia" w:ascii="宋体" w:hAnsi="宋体" w:eastAsia="宋体" w:cs="宋体"/>
                <w:sz w:val="22"/>
                <w:szCs w:val="22"/>
              </w:rPr>
              <w:t xml:space="preserve">（3）验收时如发现所交付的设备有短装、次品、损坏或其它不符合本合同规定之情形者，采购人应作出详尽的现场记录，或由采购人、中标供应商双方签署备忘录。此现场记录或备忘录可用作补充、缺失和更换损坏部件的有效证据。因此产生的有关费用由中标供应商承担。 </w:t>
            </w:r>
          </w:p>
        </w:tc>
      </w:tr>
      <w:tr w14:paraId="731F4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935" w:type="dxa"/>
          </w:tcPr>
          <w:p w14:paraId="0BE45A61">
            <w:pPr>
              <w:rPr>
                <w:rFonts w:hint="eastAsia" w:ascii="宋体" w:hAnsi="宋体" w:eastAsia="宋体" w:cs="宋体"/>
                <w:sz w:val="22"/>
                <w:szCs w:val="22"/>
              </w:rPr>
            </w:pPr>
          </w:p>
        </w:tc>
        <w:tc>
          <w:tcPr>
            <w:tcW w:w="550" w:type="dxa"/>
          </w:tcPr>
          <w:p w14:paraId="103918F4">
            <w:pPr>
              <w:pStyle w:val="51"/>
              <w:jc w:val="center"/>
              <w:rPr>
                <w:rFonts w:hint="eastAsia" w:ascii="宋体" w:hAnsi="宋体" w:eastAsia="宋体" w:cs="宋体"/>
                <w:sz w:val="22"/>
                <w:szCs w:val="22"/>
              </w:rPr>
            </w:pPr>
            <w:r>
              <w:rPr>
                <w:rFonts w:hint="eastAsia" w:ascii="宋体" w:hAnsi="宋体" w:eastAsia="宋体" w:cs="宋体"/>
                <w:sz w:val="22"/>
                <w:szCs w:val="22"/>
              </w:rPr>
              <w:t>3</w:t>
            </w:r>
          </w:p>
        </w:tc>
        <w:tc>
          <w:tcPr>
            <w:tcW w:w="2529" w:type="dxa"/>
          </w:tcPr>
          <w:p w14:paraId="7779E86C">
            <w:pPr>
              <w:pStyle w:val="51"/>
              <w:jc w:val="left"/>
              <w:rPr>
                <w:rFonts w:hint="eastAsia" w:ascii="宋体" w:hAnsi="宋体" w:eastAsia="宋体" w:cs="宋体"/>
                <w:sz w:val="22"/>
                <w:szCs w:val="22"/>
              </w:rPr>
            </w:pPr>
            <w:r>
              <w:rPr>
                <w:rFonts w:hint="eastAsia" w:ascii="宋体" w:hAnsi="宋体" w:eastAsia="宋体" w:cs="宋体"/>
                <w:sz w:val="22"/>
                <w:szCs w:val="22"/>
                <w:lang w:eastAsia="zh-CN"/>
              </w:rPr>
              <w:t>（三）售后服务</w:t>
            </w:r>
          </w:p>
        </w:tc>
        <w:tc>
          <w:tcPr>
            <w:tcW w:w="6051" w:type="dxa"/>
          </w:tcPr>
          <w:p w14:paraId="0183EA91">
            <w:pPr>
              <w:pStyle w:val="51"/>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w:t>
            </w:r>
            <w:r>
              <w:rPr>
                <w:rFonts w:hint="eastAsia" w:ascii="宋体" w:hAnsi="宋体" w:cs="宋体"/>
                <w:sz w:val="22"/>
                <w:szCs w:val="22"/>
                <w:lang w:eastAsia="zh-CN"/>
              </w:rPr>
              <w:t>、</w:t>
            </w:r>
            <w:r>
              <w:rPr>
                <w:rFonts w:hint="eastAsia" w:ascii="宋体" w:hAnsi="宋体" w:eastAsia="宋体" w:cs="宋体"/>
                <w:sz w:val="22"/>
                <w:szCs w:val="22"/>
                <w:lang w:eastAsia="zh-CN"/>
              </w:rPr>
              <w:t>除消耗性材料外，该产品的保修期是：货到、用户验收合格签字之日计算，为期2年。</w:t>
            </w:r>
          </w:p>
          <w:p w14:paraId="4D7C565D">
            <w:pPr>
              <w:pStyle w:val="51"/>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2</w:t>
            </w:r>
            <w:r>
              <w:rPr>
                <w:rFonts w:hint="eastAsia" w:ascii="宋体" w:hAnsi="宋体" w:cs="宋体"/>
                <w:sz w:val="22"/>
                <w:szCs w:val="22"/>
                <w:lang w:eastAsia="zh-CN"/>
              </w:rPr>
              <w:t>、</w:t>
            </w:r>
            <w:r>
              <w:rPr>
                <w:rFonts w:hint="eastAsia" w:ascii="宋体" w:hAnsi="宋体" w:eastAsia="宋体" w:cs="宋体"/>
                <w:sz w:val="22"/>
                <w:szCs w:val="22"/>
                <w:lang w:eastAsia="zh-CN"/>
              </w:rPr>
              <w:t>在正常使用情况下，由于材料、工艺等原因造成的货物质量问题，供货商负责免费更换或维修。</w:t>
            </w:r>
          </w:p>
          <w:p w14:paraId="2B2E0A16">
            <w:pPr>
              <w:pStyle w:val="51"/>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3</w:t>
            </w:r>
            <w:r>
              <w:rPr>
                <w:rFonts w:hint="eastAsia" w:ascii="宋体" w:hAnsi="宋体" w:cs="宋体"/>
                <w:sz w:val="22"/>
                <w:szCs w:val="22"/>
                <w:lang w:eastAsia="zh-CN"/>
              </w:rPr>
              <w:t>、</w:t>
            </w:r>
            <w:r>
              <w:rPr>
                <w:rFonts w:hint="eastAsia" w:ascii="宋体" w:hAnsi="宋体" w:eastAsia="宋体" w:cs="宋体"/>
                <w:sz w:val="22"/>
                <w:szCs w:val="22"/>
                <w:lang w:eastAsia="zh-CN"/>
              </w:rPr>
              <w:t>在质保期内出现故障，供货商提供标准电话技术支持（7×24小时）。免费质保期内维修人员接到维修通知后响应时间不超过5小时，48小时内到达现场，除特殊情况外，故障排除时间不超过48小时（特殊情况和不可抗拒因素除外）。在此期间，设备发生任何非失误操作造成的故障和损坏，均由供货商负责免费修复，失效零件予以免费更换。</w:t>
            </w:r>
            <w:bookmarkStart w:id="2" w:name="_GoBack"/>
            <w:bookmarkEnd w:id="2"/>
          </w:p>
          <w:p w14:paraId="013DBD1B">
            <w:pPr>
              <w:pStyle w:val="51"/>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4</w:t>
            </w:r>
            <w:r>
              <w:rPr>
                <w:rFonts w:hint="eastAsia" w:ascii="宋体" w:hAnsi="宋体" w:cs="宋体"/>
                <w:sz w:val="22"/>
                <w:szCs w:val="22"/>
                <w:lang w:eastAsia="zh-CN"/>
              </w:rPr>
              <w:t>、</w:t>
            </w:r>
            <w:r>
              <w:rPr>
                <w:rFonts w:hint="eastAsia" w:ascii="宋体" w:hAnsi="宋体" w:eastAsia="宋体" w:cs="宋体"/>
                <w:sz w:val="22"/>
                <w:szCs w:val="22"/>
                <w:lang w:eastAsia="zh-CN"/>
              </w:rPr>
              <w:t>保修期外，如仪器发生故障，供货商提供有偿服务，终身提供技术支持服务。</w:t>
            </w:r>
          </w:p>
          <w:p w14:paraId="1973BA22">
            <w:pPr>
              <w:pStyle w:val="51"/>
              <w:jc w:val="left"/>
              <w:rPr>
                <w:rFonts w:hint="eastAsia" w:ascii="宋体" w:hAnsi="宋体" w:eastAsia="宋体" w:cs="宋体"/>
                <w:sz w:val="22"/>
                <w:szCs w:val="22"/>
              </w:rPr>
            </w:pPr>
            <w:r>
              <w:rPr>
                <w:rFonts w:hint="eastAsia" w:ascii="宋体" w:hAnsi="宋体" w:eastAsia="宋体" w:cs="宋体"/>
                <w:sz w:val="22"/>
                <w:szCs w:val="22"/>
              </w:rPr>
              <w:t>5.免费提供上门的现场进行操作培训，讲解仪器的基本原理理论课程，为使用人员提供3人以上的操作使用以及日常的维护事项培训，直至使用人员掌握为止。</w:t>
            </w:r>
          </w:p>
        </w:tc>
      </w:tr>
      <w:tr w14:paraId="3DB56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07" w:hRule="atLeast"/>
        </w:trPr>
        <w:tc>
          <w:tcPr>
            <w:tcW w:w="935" w:type="dxa"/>
          </w:tcPr>
          <w:p w14:paraId="024BD788">
            <w:pPr>
              <w:rPr>
                <w:rFonts w:hint="eastAsia" w:ascii="宋体" w:hAnsi="宋体" w:eastAsia="宋体" w:cs="宋体"/>
                <w:sz w:val="22"/>
                <w:szCs w:val="22"/>
              </w:rPr>
            </w:pPr>
          </w:p>
        </w:tc>
        <w:tc>
          <w:tcPr>
            <w:tcW w:w="550" w:type="dxa"/>
            <w:vAlign w:val="center"/>
          </w:tcPr>
          <w:p w14:paraId="725D37AA">
            <w:pPr>
              <w:pStyle w:val="51"/>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w:t>
            </w:r>
          </w:p>
        </w:tc>
        <w:tc>
          <w:tcPr>
            <w:tcW w:w="2529" w:type="dxa"/>
            <w:vAlign w:val="center"/>
          </w:tcPr>
          <w:p w14:paraId="2A4B45DE">
            <w:pPr>
              <w:pStyle w:val="51"/>
              <w:jc w:val="left"/>
              <w:rPr>
                <w:rFonts w:hint="eastAsia" w:ascii="宋体" w:hAnsi="宋体" w:eastAsia="宋体" w:cs="宋体"/>
                <w:sz w:val="22"/>
                <w:szCs w:val="22"/>
                <w:lang w:val="en-US" w:eastAsia="zh-CN"/>
              </w:rPr>
            </w:pPr>
            <w:r>
              <w:rPr>
                <w:rFonts w:hint="eastAsia" w:ascii="宋体" w:hAnsi="宋体" w:eastAsia="宋体" w:cs="宋体"/>
                <w:sz w:val="22"/>
                <w:szCs w:val="22"/>
                <w:lang w:eastAsia="zh-CN"/>
              </w:rPr>
              <w:t>（四）项目（产品）要求</w:t>
            </w:r>
          </w:p>
        </w:tc>
        <w:tc>
          <w:tcPr>
            <w:tcW w:w="6051" w:type="dxa"/>
            <w:vAlign w:val="center"/>
          </w:tcPr>
          <w:p w14:paraId="6E6BE23C">
            <w:pPr>
              <w:pStyle w:val="51"/>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1、所投产品要求为国产。</w:t>
            </w:r>
          </w:p>
          <w:p w14:paraId="17552D2D">
            <w:pPr>
              <w:pStyle w:val="51"/>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2、本项目所投核心产品便携式傅里叶变换红外气体分析仪验收时需通过检测不少于20瓶不同混合气体组合的盲样标气做验证，测试结果需达到以下标准要求：</w:t>
            </w:r>
          </w:p>
          <w:p w14:paraId="5C500C5B">
            <w:pPr>
              <w:pStyle w:val="51"/>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1）除CO2、H2O外的气体，在校准量程＞60μmol/mol时，相对误差要求在±5%以内；</w:t>
            </w:r>
          </w:p>
          <w:p w14:paraId="152293D2">
            <w:pPr>
              <w:pStyle w:val="51"/>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2）除CO2、H2O外的气体，在校准量程≤60μmol/mol时，绝对误差要求在±3μmol/mol以内；</w:t>
            </w:r>
          </w:p>
          <w:p w14:paraId="10241B5D">
            <w:pPr>
              <w:pStyle w:val="51"/>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3）CO2在0-30%量程范围内相对误差要求在±5%以内。</w:t>
            </w:r>
          </w:p>
        </w:tc>
      </w:tr>
      <w:tr w14:paraId="7E837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5" w:type="dxa"/>
          </w:tcPr>
          <w:p w14:paraId="23046EF1">
            <w:pPr>
              <w:pStyle w:val="51"/>
              <w:rPr>
                <w:rFonts w:hint="eastAsia" w:ascii="宋体" w:hAnsi="宋体" w:eastAsia="宋体" w:cs="宋体"/>
                <w:sz w:val="22"/>
                <w:szCs w:val="22"/>
              </w:rPr>
            </w:pPr>
            <w:r>
              <w:rPr>
                <w:rFonts w:hint="eastAsia" w:ascii="宋体" w:hAnsi="宋体" w:eastAsia="宋体" w:cs="宋体"/>
                <w:sz w:val="22"/>
                <w:szCs w:val="22"/>
              </w:rPr>
              <w:t>说明</w:t>
            </w:r>
          </w:p>
        </w:tc>
        <w:tc>
          <w:tcPr>
            <w:tcW w:w="9130" w:type="dxa"/>
            <w:gridSpan w:val="3"/>
          </w:tcPr>
          <w:p w14:paraId="603266AC">
            <w:pPr>
              <w:pStyle w:val="51"/>
              <w:jc w:val="left"/>
              <w:rPr>
                <w:rFonts w:hint="eastAsia" w:ascii="宋体" w:hAnsi="宋体" w:eastAsia="宋体" w:cs="宋体"/>
                <w:sz w:val="22"/>
                <w:szCs w:val="22"/>
              </w:rPr>
            </w:pPr>
            <w:r>
              <w:rPr>
                <w:rFonts w:hint="eastAsia" w:ascii="宋体" w:hAnsi="宋体" w:eastAsia="宋体" w:cs="宋体"/>
                <w:sz w:val="22"/>
                <w:szCs w:val="22"/>
              </w:rPr>
              <w:t xml:space="preserve"> 打“★”号条款为实质性条款，若有任何一条负偏离或不满足则导致投标（响应）无效。 </w:t>
            </w:r>
            <w:r>
              <w:rPr>
                <w:rFonts w:hint="eastAsia" w:ascii="宋体" w:hAnsi="宋体" w:eastAsia="宋体" w:cs="宋体"/>
                <w:sz w:val="22"/>
                <w:szCs w:val="22"/>
              </w:rPr>
              <w:br w:type="textWrapping"/>
            </w:r>
            <w:r>
              <w:rPr>
                <w:rFonts w:hint="eastAsia" w:ascii="宋体" w:hAnsi="宋体" w:eastAsia="宋体" w:cs="宋体"/>
                <w:sz w:val="22"/>
                <w:szCs w:val="22"/>
              </w:rPr>
              <w:t>打“▲”号条款为重要参数（如有），若有部分“▲”条款未响应或不满足，将根据评审要求影响其得分，但不作为无效投标（响应）条款。</w:t>
            </w:r>
          </w:p>
        </w:tc>
      </w:tr>
    </w:tbl>
    <w:p w14:paraId="51E86D20">
      <w:pPr>
        <w:rPr>
          <w:rFonts w:hint="eastAsia" w:ascii="宋体" w:hAnsi="宋体" w:eastAsia="宋体" w:cs="宋体"/>
          <w:szCs w:val="21"/>
        </w:rPr>
      </w:pPr>
    </w:p>
    <w:sectPr>
      <w:headerReference r:id="rId3" w:type="default"/>
      <w:footerReference r:id="rId4" w:type="default"/>
      <w:type w:val="continuous"/>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Mincho Light">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Cabin-Regular">
    <w:altName w:val="DejaVu Math TeX Gyre"/>
    <w:panose1 w:val="00000000000000000000"/>
    <w:charset w:val="00"/>
    <w:family w:val="auto"/>
    <w:pitch w:val="default"/>
    <w:sig w:usb0="00000000" w:usb1="00000000" w:usb2="00000000" w:usb3="00000000" w:csb0="00000001" w:csb1="00000000"/>
  </w:font>
  <w:font w:name="Helvetica Neue">
    <w:altName w:val="DejaVu Math TeX Gyre"/>
    <w:panose1 w:val="00000000000000000000"/>
    <w:charset w:val="00"/>
    <w:family w:val="auto"/>
    <w:pitch w:val="default"/>
    <w:sig w:usb0="00000000" w:usb1="00000000" w:usb2="00000010" w:usb3="00000000" w:csb0="00000001" w:csb1="00000000"/>
  </w:font>
  <w:font w:name="方正仿宋_GB2312">
    <w:altName w:val="仿宋"/>
    <w:panose1 w:val="02000000000000000000"/>
    <w:charset w:val="00"/>
    <w:family w:val="auto"/>
    <w:pitch w:val="default"/>
    <w:sig w:usb0="00000000" w:usb1="00000000" w:usb2="00000012"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4D117CFB">
        <w:pPr>
          <w:pStyle w:val="16"/>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C29B5">
    <w:pPr>
      <w:pStyle w:val="17"/>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YTU4N2I4YzE2YjM5NjM2YjM3OTAwNmM2ZTljM2UifQ=="/>
  </w:docVars>
  <w:rsids>
    <w:rsidRoot w:val="008F294C"/>
    <w:rsid w:val="00017EC7"/>
    <w:rsid w:val="0003109B"/>
    <w:rsid w:val="00033C45"/>
    <w:rsid w:val="0005284C"/>
    <w:rsid w:val="00054A11"/>
    <w:rsid w:val="000762D5"/>
    <w:rsid w:val="000935C6"/>
    <w:rsid w:val="000A7AFC"/>
    <w:rsid w:val="000B2854"/>
    <w:rsid w:val="000C429D"/>
    <w:rsid w:val="000D2BC3"/>
    <w:rsid w:val="000E6FC2"/>
    <w:rsid w:val="001003C8"/>
    <w:rsid w:val="0011378F"/>
    <w:rsid w:val="001250A0"/>
    <w:rsid w:val="001260A5"/>
    <w:rsid w:val="00147E74"/>
    <w:rsid w:val="0016016F"/>
    <w:rsid w:val="001834EA"/>
    <w:rsid w:val="001841F3"/>
    <w:rsid w:val="0018752F"/>
    <w:rsid w:val="001D1349"/>
    <w:rsid w:val="001F72EA"/>
    <w:rsid w:val="002001EF"/>
    <w:rsid w:val="002033DB"/>
    <w:rsid w:val="00212F08"/>
    <w:rsid w:val="002169C6"/>
    <w:rsid w:val="002175D5"/>
    <w:rsid w:val="0022176A"/>
    <w:rsid w:val="00225A3F"/>
    <w:rsid w:val="00245536"/>
    <w:rsid w:val="0025311A"/>
    <w:rsid w:val="00254F64"/>
    <w:rsid w:val="00255E05"/>
    <w:rsid w:val="00276DCD"/>
    <w:rsid w:val="002C181E"/>
    <w:rsid w:val="002C3634"/>
    <w:rsid w:val="002E4D1F"/>
    <w:rsid w:val="00314F7E"/>
    <w:rsid w:val="00317C9C"/>
    <w:rsid w:val="0032514A"/>
    <w:rsid w:val="003437B1"/>
    <w:rsid w:val="00344C2F"/>
    <w:rsid w:val="0035465B"/>
    <w:rsid w:val="00362B69"/>
    <w:rsid w:val="00385822"/>
    <w:rsid w:val="00385995"/>
    <w:rsid w:val="003928D9"/>
    <w:rsid w:val="003E413B"/>
    <w:rsid w:val="003F1CC5"/>
    <w:rsid w:val="003F60A1"/>
    <w:rsid w:val="00412469"/>
    <w:rsid w:val="00424A97"/>
    <w:rsid w:val="004462FE"/>
    <w:rsid w:val="004678AA"/>
    <w:rsid w:val="00475E63"/>
    <w:rsid w:val="004765E2"/>
    <w:rsid w:val="0048273F"/>
    <w:rsid w:val="00482D8C"/>
    <w:rsid w:val="00483773"/>
    <w:rsid w:val="00495EBA"/>
    <w:rsid w:val="004D68A6"/>
    <w:rsid w:val="004E0223"/>
    <w:rsid w:val="004F0BA3"/>
    <w:rsid w:val="005054ED"/>
    <w:rsid w:val="0050637C"/>
    <w:rsid w:val="00513686"/>
    <w:rsid w:val="00535489"/>
    <w:rsid w:val="00564C6D"/>
    <w:rsid w:val="00572F3B"/>
    <w:rsid w:val="00597A7C"/>
    <w:rsid w:val="005A55DD"/>
    <w:rsid w:val="005A5926"/>
    <w:rsid w:val="005C43B4"/>
    <w:rsid w:val="005C71D6"/>
    <w:rsid w:val="005F4DB6"/>
    <w:rsid w:val="00600E35"/>
    <w:rsid w:val="0060634A"/>
    <w:rsid w:val="00653B6E"/>
    <w:rsid w:val="00663784"/>
    <w:rsid w:val="006725E6"/>
    <w:rsid w:val="006A6D70"/>
    <w:rsid w:val="006A7115"/>
    <w:rsid w:val="006A78FE"/>
    <w:rsid w:val="006B6A96"/>
    <w:rsid w:val="006E4B91"/>
    <w:rsid w:val="006F1648"/>
    <w:rsid w:val="007000E9"/>
    <w:rsid w:val="00710B61"/>
    <w:rsid w:val="00721ECA"/>
    <w:rsid w:val="007263B4"/>
    <w:rsid w:val="00745DA6"/>
    <w:rsid w:val="00747877"/>
    <w:rsid w:val="00757E0E"/>
    <w:rsid w:val="007879F5"/>
    <w:rsid w:val="00795440"/>
    <w:rsid w:val="007A5ACA"/>
    <w:rsid w:val="007A6F63"/>
    <w:rsid w:val="007C68B1"/>
    <w:rsid w:val="00801555"/>
    <w:rsid w:val="0080439A"/>
    <w:rsid w:val="00805922"/>
    <w:rsid w:val="0081176D"/>
    <w:rsid w:val="00811888"/>
    <w:rsid w:val="0083635E"/>
    <w:rsid w:val="00841D3F"/>
    <w:rsid w:val="00860E4A"/>
    <w:rsid w:val="00883AD5"/>
    <w:rsid w:val="0089687D"/>
    <w:rsid w:val="0089739C"/>
    <w:rsid w:val="008C41B2"/>
    <w:rsid w:val="008D3B15"/>
    <w:rsid w:val="008F294C"/>
    <w:rsid w:val="009004DB"/>
    <w:rsid w:val="00901872"/>
    <w:rsid w:val="00925546"/>
    <w:rsid w:val="00937842"/>
    <w:rsid w:val="00965317"/>
    <w:rsid w:val="00970F35"/>
    <w:rsid w:val="009778C7"/>
    <w:rsid w:val="00984983"/>
    <w:rsid w:val="009B15EB"/>
    <w:rsid w:val="009B5026"/>
    <w:rsid w:val="009D6B77"/>
    <w:rsid w:val="009E5390"/>
    <w:rsid w:val="00A01D02"/>
    <w:rsid w:val="00A05B88"/>
    <w:rsid w:val="00A153A7"/>
    <w:rsid w:val="00A52B45"/>
    <w:rsid w:val="00A61B87"/>
    <w:rsid w:val="00A64B7B"/>
    <w:rsid w:val="00A670CE"/>
    <w:rsid w:val="00A93230"/>
    <w:rsid w:val="00AC0453"/>
    <w:rsid w:val="00AE4888"/>
    <w:rsid w:val="00AE6905"/>
    <w:rsid w:val="00AF17C0"/>
    <w:rsid w:val="00B270BA"/>
    <w:rsid w:val="00B705A2"/>
    <w:rsid w:val="00B968B6"/>
    <w:rsid w:val="00BC1838"/>
    <w:rsid w:val="00BC4524"/>
    <w:rsid w:val="00BD789C"/>
    <w:rsid w:val="00BE1A28"/>
    <w:rsid w:val="00BE1D36"/>
    <w:rsid w:val="00BE4E22"/>
    <w:rsid w:val="00C00265"/>
    <w:rsid w:val="00C014DB"/>
    <w:rsid w:val="00C119F8"/>
    <w:rsid w:val="00C15EE4"/>
    <w:rsid w:val="00C31CEC"/>
    <w:rsid w:val="00C55A1E"/>
    <w:rsid w:val="00C62E68"/>
    <w:rsid w:val="00C64291"/>
    <w:rsid w:val="00C716DF"/>
    <w:rsid w:val="00CC19A6"/>
    <w:rsid w:val="00CD0F7A"/>
    <w:rsid w:val="00CD344F"/>
    <w:rsid w:val="00CE01F6"/>
    <w:rsid w:val="00CE04E7"/>
    <w:rsid w:val="00CF384C"/>
    <w:rsid w:val="00D179DF"/>
    <w:rsid w:val="00D3200B"/>
    <w:rsid w:val="00D33AD0"/>
    <w:rsid w:val="00D50F38"/>
    <w:rsid w:val="00D65806"/>
    <w:rsid w:val="00D91AC4"/>
    <w:rsid w:val="00D93D79"/>
    <w:rsid w:val="00DA5F0B"/>
    <w:rsid w:val="00E03022"/>
    <w:rsid w:val="00E17256"/>
    <w:rsid w:val="00E20E56"/>
    <w:rsid w:val="00E417D0"/>
    <w:rsid w:val="00E54530"/>
    <w:rsid w:val="00E60FE3"/>
    <w:rsid w:val="00E66699"/>
    <w:rsid w:val="00E7636B"/>
    <w:rsid w:val="00E918EE"/>
    <w:rsid w:val="00EA7FBC"/>
    <w:rsid w:val="00EB2819"/>
    <w:rsid w:val="00EB355B"/>
    <w:rsid w:val="00EB4367"/>
    <w:rsid w:val="00EC1164"/>
    <w:rsid w:val="00EC1C8C"/>
    <w:rsid w:val="00EC20AE"/>
    <w:rsid w:val="00EC4572"/>
    <w:rsid w:val="00EC7E25"/>
    <w:rsid w:val="00ED02BE"/>
    <w:rsid w:val="00ED13B7"/>
    <w:rsid w:val="00ED540F"/>
    <w:rsid w:val="00EE483C"/>
    <w:rsid w:val="00EF1E9F"/>
    <w:rsid w:val="00EF3B66"/>
    <w:rsid w:val="00F02E01"/>
    <w:rsid w:val="00F12096"/>
    <w:rsid w:val="00F15F4A"/>
    <w:rsid w:val="00F56E88"/>
    <w:rsid w:val="00F6286B"/>
    <w:rsid w:val="00F660BD"/>
    <w:rsid w:val="00F80A98"/>
    <w:rsid w:val="00F937F1"/>
    <w:rsid w:val="00FB0B26"/>
    <w:rsid w:val="00FB2B4E"/>
    <w:rsid w:val="00FB5470"/>
    <w:rsid w:val="00FB54B7"/>
    <w:rsid w:val="00FC6132"/>
    <w:rsid w:val="00FD5A4F"/>
    <w:rsid w:val="00FF6D04"/>
    <w:rsid w:val="022219FA"/>
    <w:rsid w:val="026A5C74"/>
    <w:rsid w:val="0278632D"/>
    <w:rsid w:val="02C25881"/>
    <w:rsid w:val="034A5312"/>
    <w:rsid w:val="04697A1A"/>
    <w:rsid w:val="054D1E6D"/>
    <w:rsid w:val="0796266C"/>
    <w:rsid w:val="080B2B96"/>
    <w:rsid w:val="082D268A"/>
    <w:rsid w:val="0855058A"/>
    <w:rsid w:val="085E7258"/>
    <w:rsid w:val="08FF209A"/>
    <w:rsid w:val="093E6004"/>
    <w:rsid w:val="09511B81"/>
    <w:rsid w:val="09CC4DF1"/>
    <w:rsid w:val="0AC46B15"/>
    <w:rsid w:val="0CDB396E"/>
    <w:rsid w:val="0D314E66"/>
    <w:rsid w:val="0D963232"/>
    <w:rsid w:val="0E3176E6"/>
    <w:rsid w:val="0E471F36"/>
    <w:rsid w:val="0E61583B"/>
    <w:rsid w:val="0E6D2AA6"/>
    <w:rsid w:val="0EE131DA"/>
    <w:rsid w:val="0FAE4E7B"/>
    <w:rsid w:val="103507FE"/>
    <w:rsid w:val="10B42E64"/>
    <w:rsid w:val="10C20BDE"/>
    <w:rsid w:val="10EB49F0"/>
    <w:rsid w:val="10F10A29"/>
    <w:rsid w:val="11220530"/>
    <w:rsid w:val="12054C5A"/>
    <w:rsid w:val="14FC1868"/>
    <w:rsid w:val="152A0CC7"/>
    <w:rsid w:val="16F26790"/>
    <w:rsid w:val="17716EB9"/>
    <w:rsid w:val="18B1316E"/>
    <w:rsid w:val="197863A4"/>
    <w:rsid w:val="19B024C8"/>
    <w:rsid w:val="1A3929F2"/>
    <w:rsid w:val="1B232C9C"/>
    <w:rsid w:val="1C9862CF"/>
    <w:rsid w:val="1CE43C8A"/>
    <w:rsid w:val="1DFC23DC"/>
    <w:rsid w:val="20281A25"/>
    <w:rsid w:val="20A27B39"/>
    <w:rsid w:val="20A774A8"/>
    <w:rsid w:val="20AC4E99"/>
    <w:rsid w:val="223D42C7"/>
    <w:rsid w:val="227E75E5"/>
    <w:rsid w:val="233A467C"/>
    <w:rsid w:val="23615928"/>
    <w:rsid w:val="23727D5B"/>
    <w:rsid w:val="240D4A99"/>
    <w:rsid w:val="24CF5440"/>
    <w:rsid w:val="25184D06"/>
    <w:rsid w:val="254F1D14"/>
    <w:rsid w:val="2602724B"/>
    <w:rsid w:val="263712D5"/>
    <w:rsid w:val="263B71BF"/>
    <w:rsid w:val="2686691D"/>
    <w:rsid w:val="2A574CBB"/>
    <w:rsid w:val="2BCE7EB7"/>
    <w:rsid w:val="2CB02E50"/>
    <w:rsid w:val="2D974544"/>
    <w:rsid w:val="2E35623B"/>
    <w:rsid w:val="2F3351A2"/>
    <w:rsid w:val="2F547060"/>
    <w:rsid w:val="30110809"/>
    <w:rsid w:val="31E85D09"/>
    <w:rsid w:val="352A11F5"/>
    <w:rsid w:val="39764963"/>
    <w:rsid w:val="39A72BA2"/>
    <w:rsid w:val="3A2D041D"/>
    <w:rsid w:val="3AF143D8"/>
    <w:rsid w:val="3CC21A1C"/>
    <w:rsid w:val="3D9F32B1"/>
    <w:rsid w:val="3DE75F30"/>
    <w:rsid w:val="3E9707DD"/>
    <w:rsid w:val="3FE353B9"/>
    <w:rsid w:val="40282598"/>
    <w:rsid w:val="40600552"/>
    <w:rsid w:val="40A9471F"/>
    <w:rsid w:val="413A127A"/>
    <w:rsid w:val="41B91637"/>
    <w:rsid w:val="42073DF3"/>
    <w:rsid w:val="431542ED"/>
    <w:rsid w:val="43A7354B"/>
    <w:rsid w:val="449000D0"/>
    <w:rsid w:val="463A1295"/>
    <w:rsid w:val="46A0180D"/>
    <w:rsid w:val="47637D1D"/>
    <w:rsid w:val="48D261C1"/>
    <w:rsid w:val="4A467479"/>
    <w:rsid w:val="4B5B1002"/>
    <w:rsid w:val="4BE83164"/>
    <w:rsid w:val="4BFA0712"/>
    <w:rsid w:val="4C597499"/>
    <w:rsid w:val="4CAA69AE"/>
    <w:rsid w:val="4DAA1065"/>
    <w:rsid w:val="4E3B3B03"/>
    <w:rsid w:val="512C1180"/>
    <w:rsid w:val="524F570D"/>
    <w:rsid w:val="53474623"/>
    <w:rsid w:val="53E775E0"/>
    <w:rsid w:val="540000E8"/>
    <w:rsid w:val="57140A4C"/>
    <w:rsid w:val="575E4F04"/>
    <w:rsid w:val="580E3142"/>
    <w:rsid w:val="584349F9"/>
    <w:rsid w:val="58C24C23"/>
    <w:rsid w:val="59326054"/>
    <w:rsid w:val="5943324D"/>
    <w:rsid w:val="59B330DC"/>
    <w:rsid w:val="5B322BEC"/>
    <w:rsid w:val="5C70386C"/>
    <w:rsid w:val="5CC901CB"/>
    <w:rsid w:val="5FF27DAA"/>
    <w:rsid w:val="61A54544"/>
    <w:rsid w:val="61E46D79"/>
    <w:rsid w:val="62212E39"/>
    <w:rsid w:val="626C6E3D"/>
    <w:rsid w:val="62B2513E"/>
    <w:rsid w:val="63C04E88"/>
    <w:rsid w:val="646F3406"/>
    <w:rsid w:val="65853E9B"/>
    <w:rsid w:val="65B76572"/>
    <w:rsid w:val="65FB49E1"/>
    <w:rsid w:val="661C5989"/>
    <w:rsid w:val="663F6DF7"/>
    <w:rsid w:val="66403E7A"/>
    <w:rsid w:val="6648501B"/>
    <w:rsid w:val="68F914A1"/>
    <w:rsid w:val="698060B5"/>
    <w:rsid w:val="6A1F03B8"/>
    <w:rsid w:val="6BB72791"/>
    <w:rsid w:val="6C1D7DF1"/>
    <w:rsid w:val="6C1E7523"/>
    <w:rsid w:val="6C9F2CF6"/>
    <w:rsid w:val="6CA93CD7"/>
    <w:rsid w:val="6CC82A72"/>
    <w:rsid w:val="6D9D09E1"/>
    <w:rsid w:val="6DB0540A"/>
    <w:rsid w:val="6E156661"/>
    <w:rsid w:val="6E9F4320"/>
    <w:rsid w:val="6ED92188"/>
    <w:rsid w:val="6F2F65B3"/>
    <w:rsid w:val="70474DC3"/>
    <w:rsid w:val="709F6865"/>
    <w:rsid w:val="71706A0F"/>
    <w:rsid w:val="71CB5E83"/>
    <w:rsid w:val="724F6DE2"/>
    <w:rsid w:val="725C79BA"/>
    <w:rsid w:val="728F3D2C"/>
    <w:rsid w:val="72A71B76"/>
    <w:rsid w:val="72D00EF6"/>
    <w:rsid w:val="72D77697"/>
    <w:rsid w:val="73010267"/>
    <w:rsid w:val="74394FB6"/>
    <w:rsid w:val="74562C44"/>
    <w:rsid w:val="747D391D"/>
    <w:rsid w:val="74D9212C"/>
    <w:rsid w:val="74EC18C4"/>
    <w:rsid w:val="775C1F10"/>
    <w:rsid w:val="7AA5385A"/>
    <w:rsid w:val="7B076624"/>
    <w:rsid w:val="7B180D23"/>
    <w:rsid w:val="7BB35E76"/>
    <w:rsid w:val="7BB66D99"/>
    <w:rsid w:val="7BE01E7B"/>
    <w:rsid w:val="7DC7140E"/>
    <w:rsid w:val="7DDBF70A"/>
    <w:rsid w:val="7E4D3181"/>
    <w:rsid w:val="7E752688"/>
    <w:rsid w:val="7EAC6B72"/>
    <w:rsid w:val="7EFA5C8E"/>
    <w:rsid w:val="7F4A3003"/>
    <w:rsid w:val="BEEF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outlineLvl w:val="2"/>
    </w:pPr>
    <w:rPr>
      <w:rFonts w:ascii="楷体_GB2312" w:hAnsi="宋体" w:eastAsia="黑体"/>
      <w:b/>
      <w:bCs/>
      <w:sz w:val="32"/>
    </w:rPr>
  </w:style>
  <w:style w:type="paragraph" w:styleId="6">
    <w:name w:val="heading 4"/>
    <w:basedOn w:val="1"/>
    <w:next w:val="1"/>
    <w:qFormat/>
    <w:uiPriority w:val="0"/>
    <w:pPr>
      <w:keepNext/>
      <w:keepLines/>
      <w:spacing w:before="280" w:after="290" w:line="374" w:lineRule="auto"/>
      <w:outlineLvl w:val="3"/>
    </w:pPr>
    <w:rPr>
      <w:sz w:val="24"/>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ind w:firstLine="480"/>
    </w:pPr>
    <w:rPr>
      <w:rFonts w:ascii="楷体_GB2312" w:eastAsia="楷体_GB2312"/>
      <w:kern w:val="0"/>
    </w:rPr>
  </w:style>
  <w:style w:type="paragraph" w:styleId="7">
    <w:name w:val="Normal Indent"/>
    <w:basedOn w:val="1"/>
    <w:unhideWhenUsed/>
    <w:qFormat/>
    <w:uiPriority w:val="0"/>
    <w:pPr>
      <w:ind w:firstLine="420" w:firstLineChars="200"/>
    </w:pPr>
    <w:rPr>
      <w:rFonts w:ascii="Calibri" w:hAnsi="Calibri"/>
      <w:szCs w:val="22"/>
      <w:lang w:val="zh-CN"/>
    </w:rPr>
  </w:style>
  <w:style w:type="paragraph" w:styleId="8">
    <w:name w:val="toa heading"/>
    <w:basedOn w:val="1"/>
    <w:next w:val="1"/>
    <w:qFormat/>
    <w:uiPriority w:val="99"/>
    <w:pPr>
      <w:spacing w:before="120"/>
    </w:pPr>
    <w:rPr>
      <w:rFonts w:ascii="Arial" w:hAnsi="Arial"/>
      <w:sz w:val="24"/>
    </w:rPr>
  </w:style>
  <w:style w:type="paragraph" w:styleId="9">
    <w:name w:val="annotation text"/>
    <w:basedOn w:val="1"/>
    <w:next w:val="1"/>
    <w:link w:val="39"/>
    <w:unhideWhenUsed/>
    <w:qFormat/>
    <w:uiPriority w:val="99"/>
    <w:pPr>
      <w:jc w:val="left"/>
    </w:pPr>
  </w:style>
  <w:style w:type="paragraph" w:styleId="10">
    <w:name w:val="Body Text"/>
    <w:basedOn w:val="1"/>
    <w:next w:val="1"/>
    <w:unhideWhenUsed/>
    <w:qFormat/>
    <w:uiPriority w:val="99"/>
  </w:style>
  <w:style w:type="paragraph" w:styleId="11">
    <w:name w:val="Body Text Indent"/>
    <w:basedOn w:val="1"/>
    <w:next w:val="12"/>
    <w:qFormat/>
    <w:uiPriority w:val="0"/>
    <w:pPr>
      <w:spacing w:line="360" w:lineRule="auto"/>
      <w:ind w:left="425" w:firstLine="518" w:firstLineChars="216"/>
    </w:pPr>
    <w:rPr>
      <w:rFonts w:ascii="楷体_GB2312" w:eastAsia="楷体_GB2312"/>
      <w:sz w:val="24"/>
    </w:rPr>
  </w:style>
  <w:style w:type="paragraph" w:styleId="12">
    <w:name w:val="Body Text First Indent 2"/>
    <w:basedOn w:val="11"/>
    <w:next w:val="13"/>
    <w:unhideWhenUsed/>
    <w:qFormat/>
    <w:uiPriority w:val="99"/>
    <w:pPr>
      <w:ind w:firstLine="420" w:firstLineChars="200"/>
    </w:pPr>
  </w:style>
  <w:style w:type="paragraph" w:styleId="13">
    <w:name w:val="Body Text First Indent"/>
    <w:basedOn w:val="10"/>
    <w:qFormat/>
    <w:uiPriority w:val="0"/>
    <w:pPr>
      <w:adjustRightInd w:val="0"/>
      <w:snapToGrid w:val="0"/>
      <w:spacing w:before="40" w:after="40"/>
      <w:ind w:firstLine="200" w:firstLineChars="200"/>
    </w:pPr>
    <w:rPr>
      <w:sz w:val="24"/>
    </w:rPr>
  </w:style>
  <w:style w:type="paragraph" w:styleId="14">
    <w:name w:val="toc 3"/>
    <w:basedOn w:val="1"/>
    <w:next w:val="1"/>
    <w:semiHidden/>
    <w:unhideWhenUsed/>
    <w:qFormat/>
    <w:uiPriority w:val="39"/>
    <w:pPr>
      <w:ind w:left="840" w:leftChars="400"/>
    </w:pPr>
  </w:style>
  <w:style w:type="paragraph" w:styleId="15">
    <w:name w:val="Balloon Text"/>
    <w:basedOn w:val="1"/>
    <w:link w:val="36"/>
    <w:semiHidden/>
    <w:unhideWhenUsed/>
    <w:qFormat/>
    <w:uiPriority w:val="99"/>
    <w:rPr>
      <w:sz w:val="18"/>
      <w:szCs w:val="18"/>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annotation subject"/>
    <w:basedOn w:val="9"/>
    <w:next w:val="9"/>
    <w:link w:val="40"/>
    <w:semiHidden/>
    <w:unhideWhenUsed/>
    <w:qFormat/>
    <w:uiPriority w:val="99"/>
    <w:rPr>
      <w:b/>
      <w:bCs/>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7">
    <w:name w:val="Hyperlink"/>
    <w:basedOn w:val="24"/>
    <w:unhideWhenUsed/>
    <w:qFormat/>
    <w:uiPriority w:val="99"/>
    <w:rPr>
      <w:color w:val="0563C1" w:themeColor="hyperlink"/>
      <w:u w:val="single"/>
      <w14:textFill>
        <w14:solidFill>
          <w14:schemeClr w14:val="hlink"/>
        </w14:solidFill>
      </w14:textFill>
    </w:rPr>
  </w:style>
  <w:style w:type="character" w:styleId="28">
    <w:name w:val="annotation reference"/>
    <w:basedOn w:val="24"/>
    <w:semiHidden/>
    <w:unhideWhenUsed/>
    <w:qFormat/>
    <w:uiPriority w:val="99"/>
    <w:rPr>
      <w:sz w:val="21"/>
      <w:szCs w:val="21"/>
    </w:rPr>
  </w:style>
  <w:style w:type="paragraph" w:customStyle="1" w:styleId="29">
    <w:name w:val="一级条标题"/>
    <w:basedOn w:val="30"/>
    <w:next w:val="31"/>
    <w:qFormat/>
    <w:uiPriority w:val="0"/>
    <w:pPr>
      <w:spacing w:line="240" w:lineRule="auto"/>
      <w:ind w:left="420"/>
      <w:outlineLvl w:val="2"/>
    </w:pPr>
  </w:style>
  <w:style w:type="paragraph" w:customStyle="1" w:styleId="30">
    <w:name w:val="章标题"/>
    <w:next w:val="1"/>
    <w:qFormat/>
    <w:uiPriority w:val="0"/>
    <w:pPr>
      <w:spacing w:line="360" w:lineRule="auto"/>
      <w:jc w:val="both"/>
      <w:outlineLvl w:val="1"/>
    </w:pPr>
    <w:rPr>
      <w:rFonts w:ascii="Yu Mincho Light" w:hAnsi="Times New Roman" w:eastAsia="Yu Mincho Light" w:cs="Yu Mincho Light"/>
      <w:sz w:val="21"/>
      <w:szCs w:val="21"/>
      <w:lang w:val="en-US" w:eastAsia="zh-CN" w:bidi="ar-SA"/>
    </w:rPr>
  </w:style>
  <w:style w:type="paragraph" w:customStyle="1" w:styleId="31">
    <w:name w:val="段"/>
    <w:next w:val="1"/>
    <w:qFormat/>
    <w:uiPriority w:val="0"/>
    <w:pPr>
      <w:autoSpaceDE w:val="0"/>
      <w:autoSpaceDN w:val="0"/>
      <w:ind w:firstLine="200" w:firstLineChars="200"/>
      <w:jc w:val="both"/>
    </w:pPr>
    <w:rPr>
      <w:rFonts w:ascii="黑体" w:hAnsi="Times New Roman" w:eastAsia="宋体" w:cs="Times New Roman"/>
      <w:sz w:val="21"/>
      <w:szCs w:val="22"/>
      <w:lang w:val="en-US" w:eastAsia="zh-CN" w:bidi="ar-SA"/>
    </w:rPr>
  </w:style>
  <w:style w:type="paragraph" w:customStyle="1" w:styleId="32">
    <w:name w:val="正文正"/>
    <w:basedOn w:val="33"/>
    <w:qFormat/>
    <w:uiPriority w:val="99"/>
    <w:pPr>
      <w:spacing w:line="560" w:lineRule="exact"/>
      <w:ind w:firstLine="561"/>
    </w:pPr>
    <w:rPr>
      <w:rFonts w:ascii="Calibri" w:hAnsi="Calibri" w:cs="Calibri"/>
      <w:sz w:val="28"/>
      <w:szCs w:val="28"/>
    </w:rPr>
  </w:style>
  <w:style w:type="paragraph" w:customStyle="1" w:styleId="33">
    <w:name w:val="正文 New New New New New New New"/>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character" w:customStyle="1" w:styleId="34">
    <w:name w:val="页眉 字符"/>
    <w:basedOn w:val="24"/>
    <w:link w:val="17"/>
    <w:qFormat/>
    <w:uiPriority w:val="99"/>
    <w:rPr>
      <w:sz w:val="18"/>
      <w:szCs w:val="18"/>
    </w:rPr>
  </w:style>
  <w:style w:type="character" w:customStyle="1" w:styleId="35">
    <w:name w:val="页脚 字符"/>
    <w:basedOn w:val="24"/>
    <w:link w:val="16"/>
    <w:qFormat/>
    <w:uiPriority w:val="99"/>
    <w:rPr>
      <w:sz w:val="18"/>
      <w:szCs w:val="18"/>
    </w:rPr>
  </w:style>
  <w:style w:type="character" w:customStyle="1" w:styleId="36">
    <w:name w:val="批注框文本 字符"/>
    <w:basedOn w:val="24"/>
    <w:link w:val="15"/>
    <w:semiHidden/>
    <w:qFormat/>
    <w:uiPriority w:val="99"/>
    <w:rPr>
      <w:sz w:val="18"/>
      <w:szCs w:val="18"/>
    </w:rPr>
  </w:style>
  <w:style w:type="paragraph" w:styleId="37">
    <w:name w:val="List Paragraph"/>
    <w:basedOn w:val="1"/>
    <w:qFormat/>
    <w:uiPriority w:val="34"/>
    <w:pPr>
      <w:ind w:firstLine="420" w:firstLineChars="200"/>
    </w:pPr>
    <w:rPr>
      <w:rFonts w:eastAsia="黑体"/>
      <w:bCs/>
      <w:sz w:val="30"/>
      <w:szCs w:val="30"/>
    </w:rPr>
  </w:style>
  <w:style w:type="paragraph" w:customStyle="1" w:styleId="38">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9">
    <w:name w:val="批注文字 字符"/>
    <w:basedOn w:val="24"/>
    <w:link w:val="9"/>
    <w:qFormat/>
    <w:uiPriority w:val="99"/>
    <w:rPr>
      <w:rFonts w:asciiTheme="minorHAnsi" w:hAnsiTheme="minorHAnsi" w:eastAsiaTheme="minorEastAsia" w:cstheme="minorBidi"/>
      <w:kern w:val="2"/>
      <w:sz w:val="21"/>
      <w:szCs w:val="24"/>
    </w:rPr>
  </w:style>
  <w:style w:type="character" w:customStyle="1" w:styleId="40">
    <w:name w:val="批注主题 字符"/>
    <w:basedOn w:val="39"/>
    <w:link w:val="21"/>
    <w:semiHidden/>
    <w:qFormat/>
    <w:uiPriority w:val="99"/>
    <w:rPr>
      <w:rFonts w:asciiTheme="minorHAnsi" w:hAnsiTheme="minorHAnsi" w:eastAsiaTheme="minorEastAsia" w:cstheme="minorBidi"/>
      <w:b/>
      <w:bCs/>
      <w:kern w:val="2"/>
      <w:sz w:val="21"/>
      <w:szCs w:val="24"/>
    </w:rPr>
  </w:style>
  <w:style w:type="character" w:customStyle="1" w:styleId="41">
    <w:name w:val="标题 1 字符"/>
    <w:basedOn w:val="24"/>
    <w:link w:val="3"/>
    <w:qFormat/>
    <w:uiPriority w:val="9"/>
    <w:rPr>
      <w:rFonts w:asciiTheme="minorHAnsi" w:hAnsiTheme="minorHAnsi" w:eastAsiaTheme="minorEastAsia" w:cstheme="minorBidi"/>
      <w:b/>
      <w:bCs/>
      <w:kern w:val="44"/>
      <w:sz w:val="44"/>
      <w:szCs w:val="44"/>
    </w:rPr>
  </w:style>
  <w:style w:type="character" w:customStyle="1" w:styleId="42">
    <w:name w:val="未处理的提及1"/>
    <w:basedOn w:val="24"/>
    <w:semiHidden/>
    <w:unhideWhenUsed/>
    <w:qFormat/>
    <w:uiPriority w:val="99"/>
    <w:rPr>
      <w:color w:val="605E5C"/>
      <w:shd w:val="clear" w:color="auto" w:fill="E1DFDD"/>
    </w:rPr>
  </w:style>
  <w:style w:type="paragraph" w:customStyle="1" w:styleId="43">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宋体" w:hAnsi="宋体" w:eastAsia="宋体" w:cs="Times New Roman"/>
      <w:kern w:val="16"/>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宋体" w:hAnsi="宋体" w:eastAsia="宋体" w:cs="Times New Roman"/>
      <w:kern w:val="16"/>
      <w:sz w:val="21"/>
      <w:szCs w:val="24"/>
      <w:lang w:val="en-US" w:eastAsia="zh-CN" w:bidi="ar-SA"/>
    </w:rPr>
  </w:style>
  <w:style w:type="character" w:customStyle="1" w:styleId="47">
    <w:name w:val="NormalCharacter"/>
    <w:semiHidden/>
    <w:qFormat/>
    <w:uiPriority w:val="0"/>
    <w:rPr>
      <w:rFonts w:ascii="Calibri" w:hAnsi="Calibri" w:eastAsia="宋体" w:cs="Times New Roman"/>
      <w:kern w:val="2"/>
      <w:sz w:val="21"/>
      <w:szCs w:val="24"/>
      <w:lang w:val="en-US" w:eastAsia="zh-CN" w:bidi="ar-SA"/>
    </w:rPr>
  </w:style>
  <w:style w:type="paragraph" w:customStyle="1" w:styleId="48">
    <w:name w:val="正文缩进 New"/>
    <w:basedOn w:val="49"/>
    <w:qFormat/>
    <w:uiPriority w:val="0"/>
    <w:pPr>
      <w:widowControl/>
      <w:ind w:firstLine="420"/>
      <w:jc w:val="left"/>
    </w:pPr>
    <w:rPr>
      <w:rFonts w:ascii="Calibri"/>
      <w:kern w:val="0"/>
      <w:sz w:val="20"/>
    </w:rPr>
  </w:style>
  <w:style w:type="paragraph" w:customStyle="1" w:styleId="49">
    <w:name w:val="正文 New New New New New New New New New New New New New New New New New New New New New New New New New New New New New New New"/>
    <w:qFormat/>
    <w:uiPriority w:val="0"/>
    <w:pPr>
      <w:widowControl w:val="0"/>
      <w:spacing w:line="360" w:lineRule="auto"/>
      <w:jc w:val="both"/>
    </w:pPr>
    <w:rPr>
      <w:rFonts w:ascii="宋体" w:hAnsi="Calibri" w:eastAsia="宋体" w:cs="Times New Roman"/>
      <w:kern w:val="2"/>
      <w:sz w:val="24"/>
      <w:lang w:val="en-US" w:eastAsia="zh-CN" w:bidi="ar-SA"/>
    </w:rPr>
  </w:style>
  <w:style w:type="paragraph" w:customStyle="1" w:styleId="50">
    <w:name w:val="表格"/>
    <w:basedOn w:val="1"/>
    <w:qFormat/>
    <w:uiPriority w:val="0"/>
    <w:pPr>
      <w:widowControl/>
      <w:ind w:firstLine="0" w:firstLineChars="0"/>
      <w:jc w:val="center"/>
      <w:textAlignment w:val="top"/>
    </w:pPr>
    <w:rPr>
      <w:rFonts w:eastAsia="宋体" w:cs="Times New Roman"/>
      <w:color w:val="000000"/>
      <w:kern w:val="0"/>
      <w:sz w:val="24"/>
      <w:szCs w:val="28"/>
    </w:rPr>
  </w:style>
  <w:style w:type="paragraph" w:customStyle="1" w:styleId="51">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SMET</Company>
  <Pages>3</Pages>
  <Words>1880</Words>
  <Characters>2026</Characters>
  <Lines>26</Lines>
  <Paragraphs>7</Paragraphs>
  <TotalTime>0</TotalTime>
  <ScaleCrop>false</ScaleCrop>
  <LinksUpToDate>false</LinksUpToDate>
  <CharactersWithSpaces>2029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2021-08-06T00:55:00Z</dcterms:created>
  <dc:creator>River</dc:creator>
  <cp:lastModifiedBy>Cf</cp:lastModifiedBy>
  <cp:lastPrinted>2021-08-04T22:09:00Z</cp:lastPrinted>
  <dcterms:modified xsi:type="dcterms:W3CDTF">2025-09-17T09:40:32Z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365A33E0336F43D5936B3DD9CFCB2BBF_13</vt:lpwstr>
  </property>
  <property fmtid="{D5CDD505-2E9C-101B-9397-08002B2CF9AE}" pid="4" name="KSOTemplateDocerSaveRecord">
    <vt:lpwstr>eyJoZGlkIjoiNzNjYTU4N2I4YzE2YjM5NjM2YjM3OTAwNmM2ZTljM2UiLCJ1c2VySWQiOiIzMzQzMTk4OTkifQ==</vt:lpwstr>
  </property>
</Properties>
</file>