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D2B08">
      <w:pPr>
        <w:pStyle w:val="2"/>
        <w:spacing w:before="0" w:after="0" w:line="240" w:lineRule="auto"/>
        <w:jc w:val="left"/>
        <w:rPr>
          <w:rFonts w:hint="eastAsia" w:ascii="仿宋" w:hAnsi="仿宋" w:eastAsia="仿宋" w:cs="宋体"/>
          <w:b/>
          <w:bCs/>
          <w:kern w:val="0"/>
          <w:sz w:val="36"/>
          <w:szCs w:val="36"/>
          <w:lang w:val="en-US" w:eastAsia="zh-CN"/>
        </w:rPr>
      </w:pPr>
      <w:bookmarkStart w:id="0" w:name="_Toc8285"/>
      <w:r>
        <w:rPr>
          <w:rFonts w:hint="eastAsia" w:ascii="仿宋" w:hAnsi="仿宋" w:eastAsia="仿宋" w:cs="宋体"/>
          <w:b/>
          <w:bCs/>
          <w:kern w:val="0"/>
          <w:sz w:val="36"/>
          <w:szCs w:val="36"/>
          <w:lang w:val="en-US" w:eastAsia="zh-CN"/>
        </w:rPr>
        <w:t>附件一</w:t>
      </w:r>
    </w:p>
    <w:p w14:paraId="54B9C451">
      <w:pPr>
        <w:pStyle w:val="2"/>
        <w:spacing w:before="0" w:after="0" w:line="240" w:lineRule="auto"/>
        <w:jc w:val="center"/>
        <w:rPr>
          <w:rFonts w:hint="eastAsia" w:ascii="宋体" w:hAnsi="宋体" w:eastAsia="宋体" w:cs="宋体"/>
          <w:sz w:val="36"/>
          <w:szCs w:val="36"/>
          <w:lang w:eastAsia="zh-CN"/>
        </w:rPr>
      </w:pPr>
      <w:r>
        <w:rPr>
          <w:rFonts w:hint="eastAsia" w:ascii="宋体" w:hAnsi="宋体" w:eastAsia="宋体" w:cs="宋体"/>
          <w:sz w:val="36"/>
          <w:szCs w:val="36"/>
          <w:lang w:eastAsia="zh-CN"/>
        </w:rPr>
        <w:t>韶关市城区颗粒物激光雷达走航监测能力建设项目</w:t>
      </w:r>
    </w:p>
    <w:p w14:paraId="72C402FD">
      <w:pPr>
        <w:pStyle w:val="2"/>
        <w:spacing w:line="360" w:lineRule="auto"/>
        <w:jc w:val="center"/>
        <w:rPr>
          <w:rFonts w:hint="eastAsia" w:ascii="宋体" w:hAnsi="宋体" w:eastAsia="宋体" w:cs="宋体"/>
        </w:rPr>
      </w:pPr>
      <w:r>
        <w:rPr>
          <w:rFonts w:hint="eastAsia" w:ascii="宋体" w:hAnsi="宋体" w:eastAsia="宋体" w:cs="宋体"/>
          <w:sz w:val="36"/>
          <w:szCs w:val="36"/>
        </w:rPr>
        <w:t>采购需求</w:t>
      </w:r>
      <w:bookmarkEnd w:id="0"/>
    </w:p>
    <w:p w14:paraId="7753BF81">
      <w:pPr>
        <w:spacing w:line="440" w:lineRule="exact"/>
        <w:ind w:right="-197"/>
        <w:jc w:val="left"/>
        <w:textAlignment w:val="baseline"/>
        <w:rPr>
          <w:rStyle w:val="47"/>
          <w:rFonts w:hint="eastAsia" w:ascii="宋体" w:hAnsi="宋体" w:cs="宋体"/>
          <w:b/>
          <w:bCs/>
          <w:szCs w:val="21"/>
        </w:rPr>
      </w:pPr>
      <w:bookmarkStart w:id="1" w:name="_Toc22929"/>
      <w:r>
        <w:rPr>
          <w:rStyle w:val="47"/>
          <w:rFonts w:hint="eastAsia" w:ascii="宋体" w:hAnsi="宋体" w:cs="宋体"/>
          <w:b/>
          <w:bCs/>
          <w:szCs w:val="21"/>
        </w:rPr>
        <w:t>一、项目基本情况</w:t>
      </w:r>
      <w:bookmarkEnd w:id="1"/>
    </w:p>
    <w:tbl>
      <w:tblPr>
        <w:tblStyle w:val="23"/>
        <w:tblW w:w="52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9"/>
        <w:gridCol w:w="6413"/>
      </w:tblGrid>
      <w:tr w14:paraId="0267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94" w:type="pct"/>
            <w:vAlign w:val="center"/>
          </w:tcPr>
          <w:p w14:paraId="42209463">
            <w:pPr>
              <w:jc w:val="center"/>
              <w:rPr>
                <w:rFonts w:hint="eastAsia" w:ascii="宋体" w:hAnsi="宋体" w:eastAsia="宋体" w:cs="宋体"/>
                <w:szCs w:val="21"/>
              </w:rPr>
            </w:pPr>
            <w:r>
              <w:rPr>
                <w:rFonts w:hint="eastAsia" w:ascii="宋体" w:hAnsi="宋体" w:eastAsia="宋体" w:cs="宋体"/>
                <w:szCs w:val="21"/>
              </w:rPr>
              <w:t>项目名称</w:t>
            </w:r>
          </w:p>
        </w:tc>
        <w:tc>
          <w:tcPr>
            <w:tcW w:w="3605" w:type="pct"/>
          </w:tcPr>
          <w:p w14:paraId="5D8A355F">
            <w:pPr>
              <w:rPr>
                <w:rFonts w:hint="eastAsia" w:ascii="宋体" w:hAnsi="宋体" w:eastAsia="宋体" w:cs="宋体"/>
                <w:b/>
                <w:bCs/>
                <w:sz w:val="28"/>
                <w:szCs w:val="28"/>
                <w:lang w:eastAsia="zh-CN"/>
              </w:rPr>
            </w:pPr>
            <w:r>
              <w:rPr>
                <w:rFonts w:hint="eastAsia" w:ascii="宋体" w:hAnsi="宋体" w:eastAsia="宋体" w:cs="宋体"/>
                <w:szCs w:val="21"/>
                <w:lang w:eastAsia="zh-CN"/>
              </w:rPr>
              <w:t>韶关市城区颗粒物激光雷达走航监测能力建设项目</w:t>
            </w:r>
          </w:p>
        </w:tc>
      </w:tr>
      <w:tr w14:paraId="110E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394" w:type="pct"/>
            <w:vAlign w:val="center"/>
          </w:tcPr>
          <w:p w14:paraId="2FB81ADE">
            <w:pPr>
              <w:jc w:val="left"/>
              <w:rPr>
                <w:rFonts w:hint="eastAsia" w:ascii="宋体" w:hAnsi="宋体" w:eastAsia="宋体" w:cs="宋体"/>
                <w:szCs w:val="21"/>
              </w:rPr>
            </w:pPr>
            <w:r>
              <w:rPr>
                <w:rFonts w:hint="eastAsia" w:ascii="宋体" w:hAnsi="宋体" w:eastAsia="宋体" w:cs="宋体"/>
                <w:szCs w:val="21"/>
              </w:rPr>
              <w:t>项目预算（单位：元）</w:t>
            </w:r>
          </w:p>
        </w:tc>
        <w:tc>
          <w:tcPr>
            <w:tcW w:w="3605" w:type="pct"/>
          </w:tcPr>
          <w:p w14:paraId="46C48E61">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1700000.00</w:t>
            </w:r>
          </w:p>
        </w:tc>
      </w:tr>
      <w:tr w14:paraId="4403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94" w:type="pct"/>
            <w:vAlign w:val="center"/>
          </w:tcPr>
          <w:p w14:paraId="5426C5B4">
            <w:pPr>
              <w:jc w:val="center"/>
              <w:rPr>
                <w:rFonts w:hint="eastAsia" w:ascii="宋体" w:hAnsi="宋体" w:eastAsia="宋体" w:cs="宋体"/>
                <w:szCs w:val="21"/>
              </w:rPr>
            </w:pPr>
            <w:r>
              <w:rPr>
                <w:rFonts w:hint="eastAsia" w:ascii="宋体" w:hAnsi="宋体" w:eastAsia="宋体" w:cs="宋体"/>
                <w:szCs w:val="21"/>
              </w:rPr>
              <w:t>采购人单位</w:t>
            </w:r>
          </w:p>
        </w:tc>
        <w:tc>
          <w:tcPr>
            <w:tcW w:w="3605" w:type="pct"/>
          </w:tcPr>
          <w:p w14:paraId="75184C97">
            <w:pPr>
              <w:rPr>
                <w:rFonts w:hint="eastAsia" w:ascii="宋体" w:hAnsi="宋体" w:eastAsia="宋体" w:cs="宋体"/>
                <w:szCs w:val="21"/>
                <w:lang w:eastAsia="zh-CN"/>
              </w:rPr>
            </w:pPr>
            <w:r>
              <w:rPr>
                <w:rFonts w:hint="eastAsia" w:ascii="宋体" w:hAnsi="宋体" w:eastAsia="宋体" w:cs="宋体"/>
                <w:szCs w:val="21"/>
                <w:lang w:eastAsia="zh-CN"/>
              </w:rPr>
              <w:t>韶关市生态环境局</w:t>
            </w:r>
          </w:p>
        </w:tc>
      </w:tr>
    </w:tbl>
    <w:p w14:paraId="679F0A4B">
      <w:pPr>
        <w:ind w:right="-197"/>
        <w:jc w:val="left"/>
        <w:textAlignment w:val="baseline"/>
        <w:rPr>
          <w:rStyle w:val="47"/>
          <w:rFonts w:hint="eastAsia" w:ascii="宋体" w:hAnsi="宋体" w:cs="宋体"/>
          <w:b/>
          <w:bCs/>
          <w:szCs w:val="21"/>
        </w:rPr>
      </w:pPr>
    </w:p>
    <w:p w14:paraId="71857A17">
      <w:pPr>
        <w:numPr>
          <w:ilvl w:val="0"/>
          <w:numId w:val="0"/>
        </w:numPr>
        <w:ind w:right="-197" w:rightChars="0"/>
        <w:jc w:val="left"/>
        <w:textAlignment w:val="baseline"/>
        <w:rPr>
          <w:rStyle w:val="47"/>
          <w:rFonts w:hint="eastAsia" w:ascii="宋体" w:hAnsi="宋体" w:cs="宋体"/>
          <w:b/>
          <w:bCs/>
          <w:szCs w:val="21"/>
        </w:rPr>
      </w:pPr>
      <w:r>
        <w:rPr>
          <w:rFonts w:hint="eastAsia" w:ascii="宋体" w:hAnsi="宋体" w:eastAsia="宋体" w:cs="宋体"/>
          <w:b/>
          <w:bCs/>
          <w:kern w:val="2"/>
          <w:sz w:val="21"/>
          <w:szCs w:val="21"/>
          <w:lang w:val="en-US" w:eastAsia="zh-CN" w:bidi="ar-SA"/>
        </w:rPr>
        <w:t>二、</w:t>
      </w:r>
      <w:r>
        <w:rPr>
          <w:rStyle w:val="47"/>
          <w:rFonts w:hint="eastAsia" w:ascii="宋体" w:hAnsi="宋体" w:cs="宋体"/>
          <w:b/>
          <w:bCs/>
          <w:szCs w:val="21"/>
        </w:rPr>
        <w:t xml:space="preserve">项目概况 </w:t>
      </w:r>
    </w:p>
    <w:tbl>
      <w:tblPr>
        <w:tblStyle w:val="22"/>
        <w:tblW w:w="521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6"/>
        <w:gridCol w:w="5253"/>
        <w:gridCol w:w="1800"/>
        <w:gridCol w:w="1015"/>
      </w:tblGrid>
      <w:tr w14:paraId="3D2742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4" w:type="pct"/>
            <w:tcBorders>
              <w:top w:val="single" w:color="000000" w:sz="8" w:space="0"/>
              <w:left w:val="single" w:color="000000" w:sz="8" w:space="0"/>
              <w:bottom w:val="single" w:color="000000" w:sz="4" w:space="0"/>
              <w:right w:val="single" w:color="000000" w:sz="4" w:space="0"/>
            </w:tcBorders>
            <w:noWrap w:val="0"/>
            <w:vAlign w:val="center"/>
          </w:tcPr>
          <w:p w14:paraId="5C9DEC69">
            <w:pPr>
              <w:jc w:val="center"/>
              <w:rPr>
                <w:rFonts w:hint="eastAsia" w:ascii="宋体" w:hAnsi="宋体" w:eastAsia="宋体" w:cs="宋体"/>
                <w:szCs w:val="21"/>
              </w:rPr>
            </w:pPr>
            <w:r>
              <w:rPr>
                <w:rFonts w:hint="eastAsia" w:ascii="宋体" w:hAnsi="宋体" w:eastAsia="宋体" w:cs="宋体"/>
                <w:szCs w:val="21"/>
              </w:rPr>
              <w:t>序号</w:t>
            </w:r>
          </w:p>
        </w:tc>
        <w:tc>
          <w:tcPr>
            <w:tcW w:w="2959" w:type="pct"/>
            <w:tcBorders>
              <w:top w:val="single" w:color="000000" w:sz="8" w:space="0"/>
              <w:left w:val="single" w:color="000000" w:sz="4" w:space="0"/>
              <w:bottom w:val="single" w:color="000000" w:sz="4" w:space="0"/>
              <w:right w:val="single" w:color="000000" w:sz="4" w:space="0"/>
            </w:tcBorders>
            <w:noWrap w:val="0"/>
            <w:vAlign w:val="center"/>
          </w:tcPr>
          <w:p w14:paraId="2225D248">
            <w:pPr>
              <w:jc w:val="left"/>
              <w:rPr>
                <w:rFonts w:hint="eastAsia" w:ascii="宋体" w:hAnsi="宋体" w:eastAsia="宋体" w:cs="宋体"/>
                <w:szCs w:val="21"/>
              </w:rPr>
            </w:pPr>
            <w:r>
              <w:rPr>
                <w:rFonts w:hint="eastAsia" w:ascii="宋体" w:hAnsi="宋体" w:eastAsia="宋体" w:cs="宋体"/>
                <w:szCs w:val="21"/>
              </w:rPr>
              <w:t>采购内容</w:t>
            </w:r>
          </w:p>
        </w:tc>
        <w:tc>
          <w:tcPr>
            <w:tcW w:w="1014" w:type="pct"/>
            <w:tcBorders>
              <w:top w:val="single" w:color="000000" w:sz="8" w:space="0"/>
              <w:left w:val="single" w:color="000000" w:sz="4" w:space="0"/>
              <w:bottom w:val="single" w:color="000000" w:sz="4" w:space="0"/>
              <w:right w:val="single" w:color="000000" w:sz="4" w:space="0"/>
            </w:tcBorders>
            <w:noWrap w:val="0"/>
            <w:vAlign w:val="center"/>
          </w:tcPr>
          <w:p w14:paraId="5CC667ED">
            <w:pPr>
              <w:jc w:val="center"/>
              <w:rPr>
                <w:rFonts w:hint="eastAsia" w:ascii="宋体" w:hAnsi="宋体" w:eastAsia="宋体" w:cs="宋体"/>
                <w:szCs w:val="21"/>
              </w:rPr>
            </w:pPr>
            <w:r>
              <w:rPr>
                <w:rFonts w:hint="eastAsia" w:ascii="宋体" w:hAnsi="宋体" w:eastAsia="宋体" w:cs="宋体"/>
                <w:szCs w:val="21"/>
              </w:rPr>
              <w:t>数量</w:t>
            </w:r>
          </w:p>
        </w:tc>
        <w:tc>
          <w:tcPr>
            <w:tcW w:w="572" w:type="pct"/>
            <w:tcBorders>
              <w:top w:val="single" w:color="000000" w:sz="8" w:space="0"/>
              <w:left w:val="single" w:color="000000" w:sz="4" w:space="0"/>
              <w:bottom w:val="single" w:color="000000" w:sz="4" w:space="0"/>
              <w:right w:val="single" w:color="000000" w:sz="4" w:space="0"/>
            </w:tcBorders>
            <w:noWrap w:val="0"/>
            <w:vAlign w:val="center"/>
          </w:tcPr>
          <w:p w14:paraId="26837D21">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产地</w:t>
            </w:r>
          </w:p>
        </w:tc>
      </w:tr>
      <w:tr w14:paraId="7F641E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54" w:type="pct"/>
            <w:tcBorders>
              <w:top w:val="single" w:color="000000" w:sz="4" w:space="0"/>
              <w:left w:val="single" w:color="000000" w:sz="8" w:space="0"/>
              <w:bottom w:val="single" w:color="000000" w:sz="4" w:space="0"/>
              <w:right w:val="single" w:color="000000" w:sz="4" w:space="0"/>
            </w:tcBorders>
            <w:noWrap w:val="0"/>
            <w:vAlign w:val="center"/>
          </w:tcPr>
          <w:p w14:paraId="03A711DC">
            <w:pPr>
              <w:jc w:val="center"/>
              <w:rPr>
                <w:rFonts w:hint="eastAsia" w:ascii="宋体" w:hAnsi="宋体" w:eastAsia="宋体" w:cs="宋体"/>
                <w:szCs w:val="21"/>
              </w:rPr>
            </w:pPr>
            <w:r>
              <w:rPr>
                <w:rFonts w:hint="eastAsia" w:ascii="宋体" w:hAnsi="宋体" w:eastAsia="宋体" w:cs="宋体"/>
                <w:szCs w:val="21"/>
              </w:rPr>
              <w:t>1</w:t>
            </w:r>
          </w:p>
        </w:tc>
        <w:tc>
          <w:tcPr>
            <w:tcW w:w="2959" w:type="pct"/>
            <w:tcBorders>
              <w:top w:val="single" w:color="000000" w:sz="4" w:space="0"/>
              <w:left w:val="single" w:color="000000" w:sz="4" w:space="0"/>
              <w:bottom w:val="single" w:color="000000" w:sz="4" w:space="0"/>
              <w:right w:val="single" w:color="000000" w:sz="4" w:space="0"/>
            </w:tcBorders>
            <w:noWrap w:val="0"/>
            <w:vAlign w:val="center"/>
          </w:tcPr>
          <w:p w14:paraId="0903AC9C">
            <w:pPr>
              <w:jc w:val="left"/>
              <w:rPr>
                <w:rFonts w:hint="eastAsia" w:ascii="宋体" w:hAnsi="宋体" w:eastAsia="宋体" w:cs="宋体"/>
                <w:szCs w:val="21"/>
              </w:rPr>
            </w:pPr>
            <w:r>
              <w:rPr>
                <w:rFonts w:hint="eastAsia" w:ascii="宋体" w:hAnsi="宋体" w:eastAsia="宋体" w:cs="宋体"/>
                <w:szCs w:val="21"/>
              </w:rPr>
              <w:t>颗粒物激光雷达（核心产品）</w:t>
            </w:r>
          </w:p>
        </w:tc>
        <w:tc>
          <w:tcPr>
            <w:tcW w:w="1014" w:type="pct"/>
            <w:tcBorders>
              <w:top w:val="single" w:color="000000" w:sz="4" w:space="0"/>
              <w:left w:val="single" w:color="000000" w:sz="4" w:space="0"/>
              <w:bottom w:val="single" w:color="000000" w:sz="4" w:space="0"/>
              <w:right w:val="single" w:color="000000" w:sz="4" w:space="0"/>
            </w:tcBorders>
            <w:noWrap w:val="0"/>
            <w:vAlign w:val="center"/>
          </w:tcPr>
          <w:p w14:paraId="2F639FE2">
            <w:pPr>
              <w:jc w:val="center"/>
              <w:rPr>
                <w:rFonts w:hint="eastAsia" w:ascii="宋体" w:hAnsi="宋体" w:eastAsia="宋体" w:cs="宋体"/>
                <w:szCs w:val="21"/>
                <w:lang w:val="en-US" w:eastAsia="zh-CN"/>
              </w:rPr>
            </w:pPr>
            <w:r>
              <w:rPr>
                <w:rFonts w:hint="eastAsia" w:ascii="宋体" w:hAnsi="宋体" w:eastAsia="宋体" w:cs="宋体"/>
                <w:szCs w:val="21"/>
              </w:rPr>
              <w:t>1</w:t>
            </w:r>
            <w:r>
              <w:rPr>
                <w:rFonts w:hint="eastAsia" w:ascii="宋体" w:hAnsi="宋体" w:eastAsia="宋体" w:cs="宋体"/>
                <w:szCs w:val="21"/>
                <w:lang w:val="en-US" w:eastAsia="zh-CN"/>
              </w:rPr>
              <w:t>套</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607D79E2">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国产</w:t>
            </w:r>
          </w:p>
        </w:tc>
      </w:tr>
      <w:tr w14:paraId="0DE2C9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54" w:type="pct"/>
            <w:tcBorders>
              <w:top w:val="single" w:color="000000" w:sz="4" w:space="0"/>
              <w:left w:val="single" w:color="000000" w:sz="8" w:space="0"/>
              <w:bottom w:val="single" w:color="000000" w:sz="4" w:space="0"/>
              <w:right w:val="single" w:color="000000" w:sz="4" w:space="0"/>
            </w:tcBorders>
            <w:noWrap w:val="0"/>
            <w:vAlign w:val="center"/>
          </w:tcPr>
          <w:p w14:paraId="0D14D079">
            <w:pPr>
              <w:jc w:val="center"/>
              <w:rPr>
                <w:rFonts w:hint="eastAsia" w:ascii="宋体" w:hAnsi="宋体" w:eastAsia="宋体" w:cs="宋体"/>
                <w:szCs w:val="21"/>
              </w:rPr>
            </w:pPr>
            <w:r>
              <w:rPr>
                <w:rFonts w:hint="eastAsia" w:ascii="宋体" w:hAnsi="宋体" w:eastAsia="宋体" w:cs="宋体"/>
                <w:szCs w:val="21"/>
              </w:rPr>
              <w:t>2</w:t>
            </w:r>
          </w:p>
        </w:tc>
        <w:tc>
          <w:tcPr>
            <w:tcW w:w="2959" w:type="pct"/>
            <w:tcBorders>
              <w:top w:val="single" w:color="000000" w:sz="4" w:space="0"/>
              <w:left w:val="single" w:color="000000" w:sz="4" w:space="0"/>
              <w:bottom w:val="single" w:color="000000" w:sz="4" w:space="0"/>
              <w:right w:val="single" w:color="000000" w:sz="4" w:space="0"/>
            </w:tcBorders>
            <w:noWrap w:val="0"/>
            <w:vAlign w:val="center"/>
          </w:tcPr>
          <w:p w14:paraId="6673FAEC">
            <w:pPr>
              <w:jc w:val="left"/>
              <w:rPr>
                <w:rFonts w:hint="eastAsia" w:ascii="宋体" w:hAnsi="宋体" w:eastAsia="宋体" w:cs="宋体"/>
                <w:szCs w:val="21"/>
              </w:rPr>
            </w:pPr>
            <w:r>
              <w:rPr>
                <w:rFonts w:hint="eastAsia" w:ascii="宋体" w:hAnsi="宋体" w:eastAsia="宋体" w:cs="宋体"/>
                <w:szCs w:val="21"/>
              </w:rPr>
              <w:t>走航车改装</w:t>
            </w:r>
          </w:p>
        </w:tc>
        <w:tc>
          <w:tcPr>
            <w:tcW w:w="1014" w:type="pct"/>
            <w:tcBorders>
              <w:top w:val="single" w:color="000000" w:sz="4" w:space="0"/>
              <w:left w:val="single" w:color="000000" w:sz="4" w:space="0"/>
              <w:bottom w:val="single" w:color="000000" w:sz="4" w:space="0"/>
              <w:right w:val="single" w:color="000000" w:sz="4" w:space="0"/>
            </w:tcBorders>
            <w:noWrap w:val="0"/>
            <w:vAlign w:val="center"/>
          </w:tcPr>
          <w:p w14:paraId="51646F3E">
            <w:pPr>
              <w:jc w:val="center"/>
              <w:rPr>
                <w:rFonts w:hint="eastAsia" w:ascii="宋体" w:hAnsi="宋体" w:eastAsia="宋体" w:cs="宋体"/>
                <w:szCs w:val="21"/>
              </w:rPr>
            </w:pPr>
            <w:r>
              <w:rPr>
                <w:rFonts w:hint="eastAsia" w:ascii="宋体" w:hAnsi="宋体" w:eastAsia="宋体" w:cs="宋体"/>
                <w:szCs w:val="21"/>
              </w:rPr>
              <w:t>1项</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01D530C3">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w:t>
            </w:r>
          </w:p>
        </w:tc>
      </w:tr>
      <w:tr w14:paraId="241A88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54" w:type="pct"/>
            <w:tcBorders>
              <w:top w:val="single" w:color="000000" w:sz="4" w:space="0"/>
              <w:left w:val="single" w:color="000000" w:sz="8" w:space="0"/>
              <w:bottom w:val="single" w:color="000000" w:sz="4" w:space="0"/>
              <w:right w:val="single" w:color="000000" w:sz="4" w:space="0"/>
            </w:tcBorders>
            <w:noWrap w:val="0"/>
            <w:vAlign w:val="center"/>
          </w:tcPr>
          <w:p w14:paraId="2622D8D0">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2959" w:type="pct"/>
            <w:tcBorders>
              <w:top w:val="single" w:color="000000" w:sz="4" w:space="0"/>
              <w:left w:val="single" w:color="000000" w:sz="4" w:space="0"/>
              <w:bottom w:val="single" w:color="000000" w:sz="4" w:space="0"/>
              <w:right w:val="single" w:color="000000" w:sz="4" w:space="0"/>
            </w:tcBorders>
            <w:noWrap w:val="0"/>
            <w:vAlign w:val="center"/>
          </w:tcPr>
          <w:p w14:paraId="25245DF7">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运维服务</w:t>
            </w:r>
          </w:p>
        </w:tc>
        <w:tc>
          <w:tcPr>
            <w:tcW w:w="1014" w:type="pct"/>
            <w:tcBorders>
              <w:top w:val="single" w:color="000000" w:sz="4" w:space="0"/>
              <w:left w:val="single" w:color="000000" w:sz="4" w:space="0"/>
              <w:bottom w:val="single" w:color="000000" w:sz="4" w:space="0"/>
              <w:right w:val="single" w:color="000000" w:sz="4" w:space="0"/>
            </w:tcBorders>
            <w:noWrap w:val="0"/>
            <w:vAlign w:val="center"/>
          </w:tcPr>
          <w:p w14:paraId="5544722D">
            <w:pPr>
              <w:jc w:val="center"/>
              <w:rPr>
                <w:rFonts w:hint="eastAsia" w:ascii="宋体" w:hAnsi="宋体" w:eastAsia="宋体" w:cs="宋体"/>
                <w:szCs w:val="21"/>
              </w:rPr>
            </w:pPr>
            <w:r>
              <w:rPr>
                <w:rFonts w:hint="eastAsia" w:ascii="宋体" w:hAnsi="宋体" w:eastAsia="宋体" w:cs="宋体"/>
                <w:szCs w:val="21"/>
              </w:rPr>
              <w:t>1项</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29E20FE5">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w:t>
            </w:r>
          </w:p>
        </w:tc>
      </w:tr>
    </w:tbl>
    <w:p w14:paraId="1058AEE2">
      <w:pPr>
        <w:numPr>
          <w:ilvl w:val="0"/>
          <w:numId w:val="0"/>
        </w:numPr>
        <w:ind w:right="-197" w:rightChars="0"/>
        <w:jc w:val="left"/>
        <w:textAlignment w:val="baseline"/>
        <w:rPr>
          <w:rStyle w:val="47"/>
          <w:rFonts w:hint="eastAsia" w:ascii="宋体" w:hAnsi="宋体" w:cs="宋体"/>
          <w:b/>
          <w:bCs/>
          <w:szCs w:val="21"/>
        </w:rPr>
      </w:pPr>
    </w:p>
    <w:p w14:paraId="7B4A1D53">
      <w:pPr>
        <w:ind w:firstLine="840" w:firstLineChars="400"/>
        <w:rPr>
          <w:rFonts w:hint="eastAsia" w:ascii="宋体" w:hAnsi="宋体" w:eastAsia="宋体" w:cs="宋体"/>
        </w:rPr>
      </w:pPr>
      <w:r>
        <w:rPr>
          <w:rFonts w:hint="eastAsia" w:ascii="宋体" w:hAnsi="宋体" w:eastAsia="宋体" w:cs="宋体"/>
        </w:rPr>
        <w:t>根据《中共中央关于制定国民经济和社会发展第十四个五年规划和二0三五年远景目标的建议》，污染防治攻坚战不仅是“十三五”的三大攻坚战之一，还将成为“十四五”的两大攻坚战之一，要顺应污染防治攻坚战由“坚决打好”向“深入打好”的重大转变，保持攻坚力度，延伸攻坚深度，拓展攻坚广度。</w:t>
      </w:r>
    </w:p>
    <w:p w14:paraId="60C39DAB">
      <w:pPr>
        <w:rPr>
          <w:rFonts w:hint="eastAsia" w:ascii="宋体" w:hAnsi="宋体" w:eastAsia="宋体" w:cs="宋体"/>
        </w:rPr>
      </w:pPr>
      <w:r>
        <w:rPr>
          <w:rFonts w:hint="eastAsia" w:ascii="宋体" w:hAnsi="宋体" w:eastAsia="宋体" w:cs="宋体"/>
        </w:rPr>
        <w:t>贯彻《中华人民共和国大气污染防治法》《广东省大气污染防治条例》文件精神，县级以上人民政府生态环境主管部门应当根据国家和省的有关规定，建立健全本行政区域大气环境质量监测网和大气污染源监控网，并保证监测设施的正常运行。</w:t>
      </w:r>
    </w:p>
    <w:p w14:paraId="28D777DE">
      <w:pPr>
        <w:rPr>
          <w:rFonts w:hint="eastAsia" w:ascii="宋体" w:hAnsi="宋体" w:eastAsia="宋体" w:cs="宋体"/>
        </w:rPr>
      </w:pPr>
      <w:r>
        <w:rPr>
          <w:rFonts w:hint="eastAsia" w:ascii="宋体" w:hAnsi="宋体" w:eastAsia="宋体" w:cs="宋体"/>
        </w:rPr>
        <w:t>近年来我市在蓝天保卫战取得显著成效，不过颗粒物污染数据整体偏高。我市重点地区夏冬季受到颗粒物和臭氧双重污染，使得我市大气空气质量数据面临较大压力。我市加强颗粒物污染防治必须落实精准治污、科学治污、依法治污要求。要在现有研究基础上加大对颗粒物污染形成机理、区域性传输特征和污染特征、联防联控等方面的研究力度。按照问题精准、时间精准、区位精准、对象精准、措施精准原则，以最小的经济代价取得最大的环境效益，为完成韶关“十四五”规划目标任务和“十四五”大气污染防治专项规划提供科技支撑。</w:t>
      </w:r>
    </w:p>
    <w:p w14:paraId="5D250CF9">
      <w:pPr>
        <w:rPr>
          <w:rFonts w:hint="eastAsia" w:ascii="宋体" w:hAnsi="宋体" w:eastAsia="宋体" w:cs="宋体"/>
        </w:rPr>
      </w:pPr>
      <w:r>
        <w:rPr>
          <w:rFonts w:hint="eastAsia" w:ascii="宋体" w:hAnsi="宋体" w:eastAsia="宋体" w:cs="宋体"/>
        </w:rPr>
        <w:t>现有颗粒物污染监测仅靠近地面的国控点空气站，监测能力较弱，而且国控点位的近地表颗粒物站点数据，站网建设密度不够，监测的要素缺乏；颗粒物监测系统、数据与分发系统和分析平台、信息收集处理与管理系统均未建立，颗粒物监测系统体系不健全，无法开展大气污染颗粒物监测预警与保障服务。这与城市高质量发展对生态环境 服务多元化需求，以及人民群众向往美好生活对生态环境服务品质的需求极不相适应，急需开展颗粒物监测与防治服务体系建设，亟需增加监测技术新手段，颗粒物激光雷达可以进行大气扫描，扫描半径可以达到</w:t>
      </w:r>
      <w:r>
        <w:rPr>
          <w:rFonts w:hint="eastAsia" w:ascii="宋体" w:hAnsi="宋体" w:eastAsia="宋体" w:cs="宋体"/>
          <w:lang w:val="en-US" w:eastAsia="zh-CN"/>
        </w:rPr>
        <w:t>4</w:t>
      </w:r>
      <w:r>
        <w:rPr>
          <w:rFonts w:hint="eastAsia" w:ascii="宋体" w:hAnsi="宋体" w:eastAsia="宋体" w:cs="宋体"/>
        </w:rPr>
        <w:t>公里</w:t>
      </w:r>
      <w:r>
        <w:rPr>
          <w:rFonts w:hint="eastAsia" w:ascii="宋体" w:hAnsi="宋体" w:eastAsia="宋体" w:cs="宋体"/>
          <w:lang w:eastAsia="zh-CN"/>
        </w:rPr>
        <w:t>及以上，天气晴朗可扫描更远距离</w:t>
      </w:r>
      <w:r>
        <w:rPr>
          <w:rFonts w:hint="eastAsia" w:ascii="宋体" w:hAnsi="宋体" w:eastAsia="宋体" w:cs="宋体"/>
        </w:rPr>
        <w:t>，可以更好地为韶关大气污染颗粒物预警与防治提供技术数据支撑。</w:t>
      </w:r>
    </w:p>
    <w:p w14:paraId="59A75485">
      <w:pPr>
        <w:rPr>
          <w:rFonts w:hint="eastAsia" w:ascii="宋体" w:hAnsi="宋体" w:eastAsia="宋体" w:cs="宋体"/>
          <w:b/>
          <w:bCs/>
          <w:szCs w:val="21"/>
        </w:rPr>
      </w:pPr>
    </w:p>
    <w:p w14:paraId="2CE1FC20">
      <w:pPr>
        <w:rPr>
          <w:rFonts w:hint="eastAsia" w:ascii="宋体" w:hAnsi="宋体" w:eastAsia="宋体" w:cs="宋体"/>
          <w:b/>
          <w:bCs/>
          <w:szCs w:val="21"/>
        </w:rPr>
      </w:pPr>
      <w:r>
        <w:rPr>
          <w:rFonts w:hint="eastAsia" w:ascii="宋体" w:hAnsi="宋体" w:eastAsia="宋体" w:cs="宋体"/>
          <w:b/>
          <w:bCs/>
          <w:szCs w:val="21"/>
        </w:rPr>
        <w:t>★1. 本项目中标人在项目服务期间内，负责供应颗粒物激光雷达及</w:t>
      </w:r>
      <w:r>
        <w:rPr>
          <w:rFonts w:hint="eastAsia" w:ascii="宋体" w:hAnsi="宋体" w:eastAsia="宋体" w:cs="宋体"/>
          <w:b/>
          <w:bCs/>
          <w:szCs w:val="21"/>
          <w:lang w:eastAsia="zh-CN"/>
        </w:rPr>
        <w:t>改装走航车并且提供雷达扫描和数据分析服务</w:t>
      </w:r>
      <w:r>
        <w:rPr>
          <w:rFonts w:hint="eastAsia" w:ascii="宋体" w:hAnsi="宋体" w:eastAsia="宋体" w:cs="宋体"/>
          <w:b/>
          <w:bCs/>
          <w:szCs w:val="21"/>
        </w:rPr>
        <w:t>，并根据采购人的监测需求进行设备搬迁、安装、监测期间运维和数据分析，自验收之日起提供至少3年的技术支撑服务，并保证设备正常运行下交接给下一家运维单位，包含对仪器设备进行日常维护，定期质控，现场巡检，数据审核及分析，及时更换耗材，保障监测设备正常使用，提供监测期间数据分析等服务。（投标时提供承诺函）</w:t>
      </w:r>
    </w:p>
    <w:p w14:paraId="7ACE600D">
      <w:pPr>
        <w:rPr>
          <w:rFonts w:hint="eastAsia" w:ascii="宋体" w:hAnsi="宋体" w:eastAsia="宋体" w:cs="宋体"/>
          <w:b/>
          <w:bCs/>
          <w:szCs w:val="21"/>
        </w:rPr>
      </w:pPr>
    </w:p>
    <w:p w14:paraId="2257C4B3">
      <w:pPr>
        <w:rPr>
          <w:rFonts w:hint="eastAsia" w:ascii="宋体" w:hAnsi="宋体" w:eastAsia="宋体" w:cs="宋体"/>
          <w:szCs w:val="21"/>
        </w:rPr>
      </w:pPr>
      <w:r>
        <w:rPr>
          <w:rFonts w:hint="eastAsia" w:ascii="宋体" w:hAnsi="宋体" w:eastAsia="宋体" w:cs="宋体"/>
          <w:b/>
          <w:szCs w:val="21"/>
        </w:rPr>
        <w:t>1.主要商务要求</w:t>
      </w:r>
    </w:p>
    <w:p w14:paraId="18F2AF66">
      <w:pPr>
        <w:pStyle w:val="14"/>
      </w:pP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53A9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61B2C8C5">
            <w:pPr>
              <w:rPr>
                <w:rFonts w:hint="eastAsia" w:ascii="宋体" w:hAnsi="宋体" w:eastAsia="宋体" w:cs="宋体"/>
                <w:color w:val="auto"/>
                <w:highlight w:val="none"/>
              </w:rPr>
            </w:pPr>
            <w:r>
              <w:rPr>
                <w:rFonts w:hint="eastAsia" w:ascii="宋体" w:hAnsi="宋体" w:eastAsia="宋体" w:cs="宋体"/>
                <w:color w:val="auto"/>
                <w:highlight w:val="none"/>
              </w:rPr>
              <w:t>标的提供的时间</w:t>
            </w:r>
          </w:p>
        </w:tc>
        <w:tc>
          <w:tcPr>
            <w:tcW w:w="4153" w:type="dxa"/>
            <w:noWrap w:val="0"/>
            <w:vAlign w:val="top"/>
          </w:tcPr>
          <w:p w14:paraId="2D149632">
            <w:pPr>
              <w:rPr>
                <w:rFonts w:hint="eastAsia" w:ascii="宋体" w:hAnsi="宋体" w:eastAsia="宋体" w:cs="宋体"/>
                <w:color w:val="auto"/>
                <w:szCs w:val="21"/>
                <w:highlight w:val="none"/>
              </w:rPr>
            </w:pPr>
          </w:p>
          <w:p w14:paraId="54449919">
            <w:pPr>
              <w:rPr>
                <w:rFonts w:hint="eastAsia" w:ascii="宋体" w:hAnsi="宋体" w:eastAsia="宋体" w:cs="宋体"/>
                <w:color w:val="auto"/>
                <w:highlight w:val="none"/>
              </w:rPr>
            </w:pPr>
            <w:r>
              <w:rPr>
                <w:rFonts w:hint="eastAsia" w:ascii="宋体" w:hAnsi="宋体" w:eastAsia="宋体" w:cs="宋体"/>
                <w:color w:val="auto"/>
                <w:szCs w:val="21"/>
                <w:highlight w:val="none"/>
              </w:rPr>
              <w:t>合同签订后60天内完成供货、安装、调试</w:t>
            </w:r>
          </w:p>
        </w:tc>
      </w:tr>
      <w:tr w14:paraId="76336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2F3C6831">
            <w:pPr>
              <w:rPr>
                <w:rFonts w:hint="eastAsia" w:ascii="宋体" w:hAnsi="宋体" w:eastAsia="宋体" w:cs="宋体"/>
                <w:color w:val="auto"/>
                <w:highlight w:val="none"/>
              </w:rPr>
            </w:pPr>
            <w:r>
              <w:rPr>
                <w:rFonts w:hint="eastAsia" w:ascii="宋体" w:hAnsi="宋体" w:eastAsia="宋体" w:cs="宋体"/>
                <w:color w:val="auto"/>
                <w:highlight w:val="none"/>
              </w:rPr>
              <w:t>标的提供的地点</w:t>
            </w:r>
          </w:p>
        </w:tc>
        <w:tc>
          <w:tcPr>
            <w:tcW w:w="4153" w:type="dxa"/>
            <w:noWrap w:val="0"/>
            <w:vAlign w:val="top"/>
          </w:tcPr>
          <w:p w14:paraId="15AA19D2">
            <w:pPr>
              <w:rPr>
                <w:rFonts w:hint="eastAsia" w:ascii="宋体" w:hAnsi="宋体" w:eastAsia="宋体" w:cs="宋体"/>
                <w:color w:val="auto"/>
                <w:highlight w:val="none"/>
              </w:rPr>
            </w:pPr>
          </w:p>
          <w:p w14:paraId="28B74EB1">
            <w:pPr>
              <w:rPr>
                <w:rFonts w:hint="eastAsia" w:ascii="宋体" w:hAnsi="宋体" w:eastAsia="宋体" w:cs="宋体"/>
                <w:color w:val="auto"/>
                <w:highlight w:val="none"/>
              </w:rPr>
            </w:pPr>
            <w:r>
              <w:rPr>
                <w:rFonts w:hint="eastAsia" w:ascii="宋体" w:hAnsi="宋体" w:eastAsia="宋体" w:cs="宋体"/>
                <w:color w:val="auto"/>
                <w:highlight w:val="none"/>
              </w:rPr>
              <w:t>采购人指定地点</w:t>
            </w:r>
          </w:p>
        </w:tc>
      </w:tr>
      <w:tr w14:paraId="0972C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1E862FAB">
            <w:pPr>
              <w:rPr>
                <w:rFonts w:hint="eastAsia" w:ascii="宋体" w:hAnsi="宋体" w:eastAsia="宋体" w:cs="宋体"/>
                <w:color w:val="auto"/>
                <w:highlight w:val="none"/>
              </w:rPr>
            </w:pPr>
            <w:r>
              <w:rPr>
                <w:rFonts w:hint="eastAsia" w:ascii="宋体" w:hAnsi="宋体" w:eastAsia="宋体" w:cs="宋体"/>
                <w:color w:val="auto"/>
                <w:highlight w:val="none"/>
              </w:rPr>
              <w:t>付款方式</w:t>
            </w:r>
          </w:p>
        </w:tc>
        <w:tc>
          <w:tcPr>
            <w:tcW w:w="4153" w:type="dxa"/>
            <w:noWrap w:val="0"/>
            <w:vAlign w:val="top"/>
          </w:tcPr>
          <w:p w14:paraId="5C7FB4CF">
            <w:pPr>
              <w:rPr>
                <w:rFonts w:hint="eastAsia" w:ascii="宋体" w:hAnsi="宋体" w:eastAsia="宋体" w:cs="宋体"/>
                <w:color w:val="auto"/>
                <w:highlight w:val="none"/>
              </w:rPr>
            </w:pPr>
          </w:p>
          <w:p w14:paraId="1F2CBC35">
            <w:pPr>
              <w:rPr>
                <w:rFonts w:hint="eastAsia" w:ascii="宋体" w:hAnsi="宋体" w:eastAsia="宋体" w:cs="宋体"/>
                <w:color w:val="auto"/>
                <w:highlight w:val="none"/>
              </w:rPr>
            </w:pPr>
            <w:r>
              <w:rPr>
                <w:rFonts w:hint="eastAsia" w:ascii="宋体" w:hAnsi="宋体" w:eastAsia="宋体" w:cs="宋体"/>
                <w:color w:val="auto"/>
                <w:highlight w:val="none"/>
              </w:rPr>
              <w:t>第1期为(首付款)：支付比例40%，★签订合同后，采购人收到中标人开具的发票之日起5个工作日内，按广东省财政资金管理规定的程序向政府采购支付部门提出办理财政支付申请手续，由政府采购支付部门支付合同总价的</w:t>
            </w:r>
            <w:r>
              <w:rPr>
                <w:rFonts w:hint="eastAsia" w:ascii="宋体" w:hAnsi="宋体" w:eastAsia="宋体" w:cs="宋体"/>
                <w:b/>
                <w:bCs/>
                <w:color w:val="auto"/>
                <w:highlight w:val="none"/>
              </w:rPr>
              <w:t>40%</w:t>
            </w:r>
            <w:r>
              <w:rPr>
                <w:rFonts w:hint="eastAsia" w:ascii="宋体" w:hAnsi="宋体" w:eastAsia="宋体" w:cs="宋体"/>
                <w:color w:val="auto"/>
                <w:highlight w:val="none"/>
              </w:rPr>
              <w:t>。中标人凭以下有效的文件向采购人提出支付申请：1）项目合同；2）中标人开具的相应金额的正式发票；3）本项目中标通知书。</w:t>
            </w:r>
          </w:p>
          <w:p w14:paraId="5556CC41">
            <w:pPr>
              <w:rPr>
                <w:rFonts w:hint="eastAsia" w:ascii="宋体" w:hAnsi="宋体" w:eastAsia="宋体" w:cs="宋体"/>
                <w:color w:val="auto"/>
                <w:highlight w:val="none"/>
              </w:rPr>
            </w:pPr>
          </w:p>
          <w:p w14:paraId="767C074F">
            <w:pPr>
              <w:rPr>
                <w:rFonts w:hint="eastAsia" w:ascii="宋体" w:hAnsi="宋体" w:eastAsia="宋体" w:cs="宋体"/>
                <w:color w:val="auto"/>
                <w:highlight w:val="none"/>
              </w:rPr>
            </w:pPr>
            <w:r>
              <w:rPr>
                <w:rFonts w:hint="eastAsia" w:ascii="宋体" w:hAnsi="宋体" w:eastAsia="宋体" w:cs="宋体"/>
                <w:color w:val="auto"/>
                <w:highlight w:val="none"/>
              </w:rPr>
              <w:t>第2期为(验收款)：支付比例</w:t>
            </w:r>
            <w:r>
              <w:rPr>
                <w:rFonts w:hint="eastAsia" w:ascii="宋体" w:hAnsi="宋体" w:eastAsia="宋体" w:cs="宋体"/>
                <w:b/>
                <w:bCs/>
                <w:color w:val="auto"/>
                <w:highlight w:val="none"/>
              </w:rPr>
              <w:t>60%</w:t>
            </w:r>
            <w:r>
              <w:rPr>
                <w:rFonts w:hint="eastAsia" w:ascii="宋体" w:hAnsi="宋体" w:eastAsia="宋体" w:cs="宋体"/>
                <w:color w:val="auto"/>
                <w:highlight w:val="none"/>
              </w:rPr>
              <w:t>，★项目所有采购货物到货安装以及调试完毕，中标人提出并通过采购人的验收后，采购人在收到中标人开具的发票之日起10个工作日内，按广东省财政资金管理规定的程序向政府采购支付部门提出办理财政支付申请手续，由政府采购支付部门支付合同总金额60%的款项。中标人凭以下有效的文件向采购人提出支付申请：1）项目合同及中标通知书；2）中标人开具的相应金额的正式发票；3）开箱验收单；4）安装调试报告；5）仪器设备性能测试和验收报告；6）已提交履约保证金或银行保函或保险保函（担保保函）的凭证。</w:t>
            </w:r>
          </w:p>
          <w:p w14:paraId="253F7C42">
            <w:pPr>
              <w:rPr>
                <w:rFonts w:hint="eastAsia" w:ascii="宋体" w:hAnsi="宋体" w:eastAsia="宋体" w:cs="宋体"/>
                <w:color w:val="auto"/>
                <w:highlight w:val="none"/>
              </w:rPr>
            </w:pPr>
          </w:p>
        </w:tc>
      </w:tr>
      <w:tr w14:paraId="68661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7F10AE38">
            <w:pPr>
              <w:rPr>
                <w:rFonts w:hint="eastAsia" w:ascii="宋体" w:hAnsi="宋体" w:eastAsia="宋体" w:cs="宋体"/>
                <w:color w:val="auto"/>
                <w:highlight w:val="none"/>
              </w:rPr>
            </w:pPr>
            <w:r>
              <w:rPr>
                <w:rFonts w:hint="eastAsia" w:ascii="宋体" w:hAnsi="宋体" w:eastAsia="宋体" w:cs="宋体"/>
                <w:color w:val="auto"/>
                <w:highlight w:val="none"/>
              </w:rPr>
              <w:t>验收要求</w:t>
            </w:r>
          </w:p>
        </w:tc>
        <w:tc>
          <w:tcPr>
            <w:tcW w:w="4153" w:type="dxa"/>
            <w:noWrap w:val="0"/>
            <w:vAlign w:val="top"/>
          </w:tcPr>
          <w:p w14:paraId="37D6C399">
            <w:pPr>
              <w:rPr>
                <w:rFonts w:hint="eastAsia" w:ascii="宋体" w:hAnsi="宋体" w:eastAsia="宋体" w:cs="宋体"/>
                <w:color w:val="auto"/>
                <w:highlight w:val="none"/>
              </w:rPr>
            </w:pPr>
          </w:p>
          <w:p w14:paraId="6959EF76">
            <w:pPr>
              <w:rPr>
                <w:rFonts w:hint="eastAsia" w:ascii="宋体" w:hAnsi="宋体" w:eastAsia="宋体" w:cs="宋体"/>
                <w:color w:val="auto"/>
                <w:highlight w:val="none"/>
              </w:rPr>
            </w:pPr>
            <w:r>
              <w:rPr>
                <w:rFonts w:hint="eastAsia" w:ascii="宋体" w:hAnsi="宋体" w:eastAsia="宋体" w:cs="宋体"/>
                <w:color w:val="auto"/>
                <w:highlight w:val="none"/>
              </w:rPr>
              <w:t>本项目的履约验收工作由采购人依法组织实施，项目成果通过专家评审和韶关市生态环境局认可：</w:t>
            </w:r>
          </w:p>
          <w:p w14:paraId="58AD4639">
            <w:pPr>
              <w:numPr>
                <w:ilvl w:val="0"/>
                <w:numId w:val="1"/>
              </w:numPr>
              <w:rPr>
                <w:rFonts w:hint="eastAsia" w:ascii="宋体" w:hAnsi="宋体" w:eastAsia="宋体" w:cs="宋体"/>
                <w:color w:val="auto"/>
                <w:highlight w:val="none"/>
              </w:rPr>
            </w:pPr>
            <w:r>
              <w:rPr>
                <w:rFonts w:hint="eastAsia" w:ascii="宋体" w:hAnsi="宋体" w:eastAsia="宋体" w:cs="宋体"/>
                <w:color w:val="auto"/>
                <w:highlight w:val="none"/>
              </w:rPr>
              <w:t xml:space="preserve">验收时间： 产品安装、调试完毕，产品试用后，由中标人提出验收申请和提供验收相关材料，采购人收到验收申请后组织验收。采购人验收合格后出具验收报告，需要其他管理机构验收的由验收机构出具验收报告。 </w:t>
            </w:r>
          </w:p>
          <w:p w14:paraId="3C12FF1D">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t>2、验收标准： 本项目应按合同的约定、采购文件的要求、投标（响应）文件的承诺（响应）内容，由采购人组织专家进行验收。 （1）符合与本服务项目内容及成果相关的法规、政策规定及标准。包括但不限于涵盖招标文件采购需求书、投标响应文件和承诺函的规定。 （2）本服务项目的货物采购需求内容已全部完成，投标人依约提交了全部货物和配套服务。根据投标响应文件和合同所要求的技术标准和相关的标准要求，确定以下参</w:t>
            </w:r>
            <w:bookmarkStart w:id="2" w:name="_GoBack"/>
            <w:bookmarkEnd w:id="2"/>
            <w:r>
              <w:rPr>
                <w:rFonts w:hint="eastAsia" w:ascii="宋体" w:hAnsi="宋体" w:eastAsia="宋体" w:cs="宋体"/>
                <w:color w:val="auto"/>
                <w:highlight w:val="none"/>
              </w:rPr>
              <w:t>数作为验收主要依据：颗粒物激光雷达主要功能要求：可以探测消光系数、退偏振比、颗粒物浓度、光学厚度、边界层、能见度和云信息等参数。多种探测模式可选，包含且不限于走航模式、垂直模式、水平扫描模式等；工作波段：532nm；激光重复频率：1Hz-7kHz可调；脉冲能量≥10μJ；整机功耗：≤150W；探测盲区距离：≤</w:t>
            </w:r>
            <w:r>
              <w:rPr>
                <w:rFonts w:hint="eastAsia" w:ascii="宋体" w:hAnsi="宋体" w:eastAsia="宋体" w:cs="宋体"/>
                <w:color w:val="auto"/>
                <w:highlight w:val="none"/>
                <w:lang w:val="en-US" w:eastAsia="zh-CN"/>
              </w:rPr>
              <w:t>75</w:t>
            </w:r>
            <w:r>
              <w:rPr>
                <w:rFonts w:hint="eastAsia" w:ascii="宋体" w:hAnsi="宋体" w:eastAsia="宋体" w:cs="宋体"/>
                <w:color w:val="auto"/>
                <w:highlight w:val="none"/>
              </w:rPr>
              <w:t>m；探测距离：有效探测距离：≥</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km；扫描方式：整体旋转三维扫描；</w:t>
            </w:r>
          </w:p>
          <w:p w14:paraId="556CA098">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t>扫描参数及软件控制要求：水平扫描角度范围：0°～360°，垂直剖面扫描角度0°～180°；扫描速度：≤30°/s；时间分辨率：≥3s；</w:t>
            </w:r>
          </w:p>
          <w:p w14:paraId="2B8B4F6D">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t>实时数据存储与传输：颗粒物实时数据具有本地实时存储与实时传输功能，可通过无线传输等方式传输到服务器。</w:t>
            </w:r>
          </w:p>
          <w:p w14:paraId="437A0506">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t>空间分辨率：3.75m及其倍数，可调；设备防护等级：IP66。较小体积安装携带方便：整体集成化设计，元器件分布合理美观，较小的整体尺寸、重量便于携带与机器设备安装。数据通讯方式：无线通讯。工作电压：兼容直流24V/AC220V供电。</w:t>
            </w:r>
          </w:p>
          <w:p w14:paraId="6BE495A2">
            <w:pPr>
              <w:rPr>
                <w:rFonts w:hint="eastAsia" w:ascii="宋体" w:hAnsi="宋体" w:eastAsia="宋体" w:cs="宋体"/>
                <w:color w:val="auto"/>
                <w:highlight w:val="none"/>
              </w:rPr>
            </w:pPr>
            <w:r>
              <w:rPr>
                <w:rFonts w:hint="eastAsia" w:ascii="宋体" w:hAnsi="宋体" w:eastAsia="宋体" w:cs="宋体"/>
                <w:color w:val="auto"/>
                <w:highlight w:val="none"/>
              </w:rPr>
              <w:t>（3）采购人组成验收小组按本合同第二条约定的质量标准和第十条验收约定进行验收，必要时邀请相关的专业人员或机构参与验收。因货物质量问题发生争议时，由采购人指定具备资质的质量技术监督部门鉴定。货物符合质量技术标准的，鉴定费由采购人承担，否则鉴定费由中标人承担。 （4）本项目的合同目的能够实现。</w:t>
            </w:r>
          </w:p>
        </w:tc>
      </w:tr>
      <w:tr w14:paraId="0E482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118C4174">
            <w:pPr>
              <w:rPr>
                <w:rFonts w:hint="eastAsia" w:ascii="宋体" w:hAnsi="宋体" w:eastAsia="宋体" w:cs="宋体"/>
                <w:color w:val="auto"/>
                <w:highlight w:val="none"/>
              </w:rPr>
            </w:pPr>
            <w:r>
              <w:rPr>
                <w:rFonts w:hint="eastAsia" w:ascii="宋体" w:hAnsi="宋体" w:eastAsia="宋体" w:cs="宋体"/>
                <w:color w:val="auto"/>
                <w:highlight w:val="none"/>
              </w:rPr>
              <w:t>履约保证金</w:t>
            </w:r>
          </w:p>
        </w:tc>
        <w:tc>
          <w:tcPr>
            <w:tcW w:w="4153" w:type="dxa"/>
            <w:noWrap w:val="0"/>
            <w:vAlign w:val="top"/>
          </w:tcPr>
          <w:p w14:paraId="2E593ECC">
            <w:pPr>
              <w:rPr>
                <w:rFonts w:hint="eastAsia" w:ascii="宋体" w:hAnsi="宋体" w:eastAsia="宋体" w:cs="宋体"/>
                <w:color w:val="auto"/>
                <w:highlight w:val="none"/>
              </w:rPr>
            </w:pPr>
          </w:p>
          <w:p w14:paraId="5D729C2B">
            <w:pPr>
              <w:rPr>
                <w:rFonts w:hint="eastAsia" w:ascii="宋体" w:hAnsi="宋体" w:eastAsia="宋体" w:cs="宋体"/>
                <w:color w:val="auto"/>
                <w:highlight w:val="none"/>
              </w:rPr>
            </w:pPr>
            <w:r>
              <w:rPr>
                <w:rFonts w:hint="eastAsia" w:ascii="宋体" w:hAnsi="宋体" w:eastAsia="宋体" w:cs="宋体"/>
                <w:color w:val="auto"/>
                <w:highlight w:val="none"/>
              </w:rPr>
              <w:t>不收取</w:t>
            </w:r>
          </w:p>
        </w:tc>
      </w:tr>
      <w:tr w14:paraId="2086E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392105FC">
            <w:pPr>
              <w:rPr>
                <w:rFonts w:hint="eastAsia" w:ascii="宋体" w:hAnsi="宋体" w:eastAsia="宋体" w:cs="宋体"/>
                <w:color w:val="auto"/>
                <w:highlight w:val="none"/>
              </w:rPr>
            </w:pPr>
            <w:r>
              <w:rPr>
                <w:rFonts w:hint="eastAsia" w:ascii="宋体" w:hAnsi="宋体" w:eastAsia="宋体" w:cs="宋体"/>
                <w:color w:val="auto"/>
                <w:highlight w:val="none"/>
              </w:rPr>
              <w:t>其他</w:t>
            </w:r>
          </w:p>
        </w:tc>
        <w:tc>
          <w:tcPr>
            <w:tcW w:w="4153" w:type="dxa"/>
            <w:noWrap w:val="0"/>
            <w:vAlign w:val="top"/>
          </w:tcPr>
          <w:p w14:paraId="638F854E">
            <w:pPr>
              <w:rPr>
                <w:rFonts w:hint="eastAsia" w:ascii="宋体" w:hAnsi="宋体" w:eastAsia="宋体" w:cs="宋体"/>
                <w:color w:val="auto"/>
                <w:highlight w:val="none"/>
              </w:rPr>
            </w:pPr>
          </w:p>
        </w:tc>
      </w:tr>
    </w:tbl>
    <w:p w14:paraId="208624CC">
      <w:pPr>
        <w:rPr>
          <w:rFonts w:hint="eastAsia"/>
        </w:rPr>
      </w:pPr>
    </w:p>
    <w:p w14:paraId="15154B59">
      <w:pPr>
        <w:spacing w:line="360" w:lineRule="auto"/>
        <w:jc w:val="left"/>
        <w:rPr>
          <w:rFonts w:hint="eastAsia" w:ascii="宋体" w:hAnsi="宋体" w:eastAsia="宋体" w:cs="宋体"/>
          <w:b/>
          <w:bCs/>
          <w:szCs w:val="21"/>
        </w:rPr>
      </w:pPr>
      <w:r>
        <w:rPr>
          <w:rFonts w:hint="eastAsia" w:ascii="宋体" w:hAnsi="宋体" w:eastAsia="宋体" w:cs="宋体"/>
          <w:b/>
          <w:bCs/>
          <w:szCs w:val="21"/>
        </w:rPr>
        <w:t>其他商务要求</w:t>
      </w: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168E9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194BFAD3">
            <w:pPr>
              <w:jc w:val="center"/>
              <w:rPr>
                <w:rFonts w:hint="eastAsia" w:ascii="宋体" w:hAnsi="宋体" w:eastAsia="宋体" w:cs="宋体"/>
                <w:color w:val="auto"/>
                <w:highlight w:val="none"/>
              </w:rPr>
            </w:pPr>
            <w:r>
              <w:rPr>
                <w:rFonts w:hint="eastAsia" w:ascii="宋体" w:hAnsi="宋体" w:eastAsia="宋体" w:cs="宋体"/>
                <w:color w:val="auto"/>
                <w:highlight w:val="none"/>
              </w:rPr>
              <w:t>参数性质</w:t>
            </w:r>
          </w:p>
        </w:tc>
        <w:tc>
          <w:tcPr>
            <w:tcW w:w="2076" w:type="dxa"/>
            <w:noWrap w:val="0"/>
            <w:vAlign w:val="top"/>
          </w:tcPr>
          <w:p w14:paraId="405AAAB2">
            <w:pPr>
              <w:jc w:val="center"/>
              <w:rPr>
                <w:rFonts w:hint="eastAsia" w:ascii="宋体" w:hAnsi="宋体" w:eastAsia="宋体" w:cs="宋体"/>
                <w:color w:val="auto"/>
                <w:highlight w:val="none"/>
              </w:rPr>
            </w:pPr>
            <w:r>
              <w:rPr>
                <w:rFonts w:hint="eastAsia" w:ascii="宋体" w:hAnsi="宋体" w:eastAsia="宋体" w:cs="宋体"/>
                <w:color w:val="auto"/>
                <w:highlight w:val="none"/>
              </w:rPr>
              <w:t>编号</w:t>
            </w:r>
          </w:p>
        </w:tc>
        <w:tc>
          <w:tcPr>
            <w:tcW w:w="2076" w:type="dxa"/>
            <w:noWrap w:val="0"/>
            <w:vAlign w:val="top"/>
          </w:tcPr>
          <w:p w14:paraId="12A66140">
            <w:pPr>
              <w:jc w:val="center"/>
              <w:rPr>
                <w:rFonts w:hint="eastAsia" w:ascii="宋体" w:hAnsi="宋体" w:eastAsia="宋体" w:cs="宋体"/>
                <w:color w:val="auto"/>
                <w:highlight w:val="none"/>
              </w:rPr>
            </w:pPr>
            <w:r>
              <w:rPr>
                <w:rFonts w:hint="eastAsia" w:ascii="宋体" w:hAnsi="宋体" w:eastAsia="宋体" w:cs="宋体"/>
                <w:color w:val="auto"/>
                <w:highlight w:val="none"/>
              </w:rPr>
              <w:t>内容明细</w:t>
            </w:r>
          </w:p>
        </w:tc>
        <w:tc>
          <w:tcPr>
            <w:tcW w:w="2076" w:type="dxa"/>
            <w:noWrap w:val="0"/>
            <w:vAlign w:val="top"/>
          </w:tcPr>
          <w:p w14:paraId="113EF7B2">
            <w:pPr>
              <w:jc w:val="center"/>
              <w:rPr>
                <w:rFonts w:hint="eastAsia" w:ascii="宋体" w:hAnsi="宋体" w:eastAsia="宋体" w:cs="宋体"/>
                <w:color w:val="auto"/>
                <w:highlight w:val="none"/>
              </w:rPr>
            </w:pPr>
            <w:r>
              <w:rPr>
                <w:rFonts w:hint="eastAsia" w:ascii="宋体" w:hAnsi="宋体" w:eastAsia="宋体" w:cs="宋体"/>
                <w:color w:val="auto"/>
                <w:highlight w:val="none"/>
              </w:rPr>
              <w:t>内容说明</w:t>
            </w:r>
          </w:p>
        </w:tc>
      </w:tr>
      <w:tr w14:paraId="62B23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7BC024D2">
            <w:pPr>
              <w:jc w:val="center"/>
              <w:rPr>
                <w:rFonts w:hint="eastAsia" w:ascii="宋体" w:hAnsi="宋体" w:eastAsia="宋体" w:cs="宋体"/>
                <w:color w:val="auto"/>
                <w:highlight w:val="none"/>
              </w:rPr>
            </w:pPr>
          </w:p>
        </w:tc>
        <w:tc>
          <w:tcPr>
            <w:tcW w:w="2076" w:type="dxa"/>
            <w:noWrap w:val="0"/>
            <w:vAlign w:val="top"/>
          </w:tcPr>
          <w:p w14:paraId="5E18AD46">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076" w:type="dxa"/>
            <w:noWrap w:val="0"/>
            <w:vAlign w:val="top"/>
          </w:tcPr>
          <w:p w14:paraId="66C22159">
            <w:pPr>
              <w:jc w:val="left"/>
              <w:rPr>
                <w:rFonts w:hint="eastAsia" w:ascii="宋体" w:hAnsi="宋体" w:eastAsia="宋体" w:cs="宋体"/>
                <w:color w:val="auto"/>
                <w:highlight w:val="none"/>
              </w:rPr>
            </w:pPr>
            <w:r>
              <w:rPr>
                <w:rFonts w:hint="eastAsia" w:ascii="宋体" w:hAnsi="宋体" w:eastAsia="宋体" w:cs="宋体"/>
                <w:color w:val="auto"/>
                <w:highlight w:val="none"/>
              </w:rPr>
              <w:t>报价要求</w:t>
            </w:r>
          </w:p>
        </w:tc>
        <w:tc>
          <w:tcPr>
            <w:tcW w:w="2076" w:type="dxa"/>
            <w:noWrap w:val="0"/>
            <w:vAlign w:val="top"/>
          </w:tcPr>
          <w:p w14:paraId="56FEA5A3">
            <w:pPr>
              <w:jc w:val="left"/>
              <w:rPr>
                <w:rFonts w:hint="eastAsia" w:ascii="宋体" w:hAnsi="宋体" w:eastAsia="宋体" w:cs="宋体"/>
                <w:color w:val="auto"/>
                <w:highlight w:val="none"/>
              </w:rPr>
            </w:pPr>
            <w:r>
              <w:rPr>
                <w:rFonts w:hint="eastAsia" w:ascii="宋体" w:hAnsi="宋体" w:eastAsia="宋体" w:cs="宋体"/>
                <w:color w:val="auto"/>
                <w:highlight w:val="none"/>
              </w:rPr>
              <w:t>1.报价为全包价，以元人民币为结算单位，包括但不限于：所有项目的设备及安装、操作系统、交通运输、服务、业主操作人员的培训、资料费、劳务费、管理费、人工、验收、售后、利润、税费等合同实施过程中应预见与不可预见费的全部费用。 2.中标人必须自行考虑在本项目实施期间的一切可能产生的费用，在项目的实施过程中，采购人除了支付合同规定的款项外，一切合同规定外的费用将拒绝支付。</w:t>
            </w:r>
          </w:p>
        </w:tc>
      </w:tr>
      <w:tr w14:paraId="2136F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4216ABC7">
            <w:pPr>
              <w:jc w:val="center"/>
              <w:rPr>
                <w:rFonts w:hint="eastAsia" w:ascii="宋体" w:hAnsi="宋体" w:eastAsia="宋体" w:cs="宋体"/>
                <w:color w:val="auto"/>
                <w:highlight w:val="none"/>
              </w:rPr>
            </w:pPr>
          </w:p>
        </w:tc>
        <w:tc>
          <w:tcPr>
            <w:tcW w:w="2076" w:type="dxa"/>
            <w:noWrap w:val="0"/>
            <w:vAlign w:val="top"/>
          </w:tcPr>
          <w:p w14:paraId="501815E4">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076" w:type="dxa"/>
            <w:noWrap w:val="0"/>
            <w:vAlign w:val="top"/>
          </w:tcPr>
          <w:p w14:paraId="063853B7">
            <w:pPr>
              <w:jc w:val="left"/>
              <w:rPr>
                <w:rFonts w:hint="eastAsia" w:ascii="宋体" w:hAnsi="宋体" w:eastAsia="宋体" w:cs="宋体"/>
                <w:color w:val="auto"/>
                <w:highlight w:val="none"/>
              </w:rPr>
            </w:pPr>
            <w:r>
              <w:rPr>
                <w:rFonts w:hint="eastAsia" w:ascii="宋体" w:hAnsi="宋体" w:eastAsia="宋体" w:cs="宋体"/>
                <w:color w:val="auto"/>
                <w:highlight w:val="none"/>
              </w:rPr>
              <w:t>服务期</w:t>
            </w:r>
          </w:p>
        </w:tc>
        <w:tc>
          <w:tcPr>
            <w:tcW w:w="2076" w:type="dxa"/>
            <w:noWrap w:val="0"/>
            <w:vAlign w:val="top"/>
          </w:tcPr>
          <w:p w14:paraId="6A123E56">
            <w:pPr>
              <w:jc w:val="left"/>
              <w:rPr>
                <w:rFonts w:hint="eastAsia" w:ascii="宋体" w:hAnsi="宋体" w:eastAsia="宋体" w:cs="宋体"/>
                <w:color w:val="auto"/>
                <w:highlight w:val="none"/>
              </w:rPr>
            </w:pPr>
            <w:r>
              <w:rPr>
                <w:rFonts w:hint="eastAsia" w:ascii="宋体" w:hAnsi="宋体" w:eastAsia="宋体" w:cs="宋体"/>
                <w:color w:val="auto"/>
                <w:highlight w:val="none"/>
              </w:rPr>
              <w:t>3年（项目竣工后，由采购人组织相关技术人员进行验收，验收合格并正常运行之日起3年，具体以合同约定为准）。</w:t>
            </w:r>
          </w:p>
        </w:tc>
      </w:tr>
      <w:tr w14:paraId="43E6F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664D96CB">
            <w:pPr>
              <w:jc w:val="center"/>
              <w:rPr>
                <w:rFonts w:hint="eastAsia" w:ascii="宋体" w:hAnsi="宋体" w:eastAsia="宋体" w:cs="宋体"/>
                <w:color w:val="auto"/>
                <w:highlight w:val="none"/>
              </w:rPr>
            </w:pPr>
          </w:p>
        </w:tc>
        <w:tc>
          <w:tcPr>
            <w:tcW w:w="2076" w:type="dxa"/>
            <w:noWrap w:val="0"/>
            <w:vAlign w:val="top"/>
          </w:tcPr>
          <w:p w14:paraId="78B1717D">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076" w:type="dxa"/>
            <w:noWrap w:val="0"/>
            <w:vAlign w:val="top"/>
          </w:tcPr>
          <w:p w14:paraId="74612CFC">
            <w:pPr>
              <w:jc w:val="left"/>
              <w:rPr>
                <w:rFonts w:hint="eastAsia" w:ascii="宋体" w:hAnsi="宋体" w:eastAsia="宋体" w:cs="宋体"/>
                <w:color w:val="auto"/>
                <w:highlight w:val="none"/>
              </w:rPr>
            </w:pPr>
            <w:r>
              <w:rPr>
                <w:rFonts w:hint="eastAsia" w:ascii="宋体" w:hAnsi="宋体" w:eastAsia="宋体" w:cs="宋体"/>
                <w:color w:val="auto"/>
                <w:highlight w:val="none"/>
              </w:rPr>
              <w:t>售后服务</w:t>
            </w:r>
          </w:p>
        </w:tc>
        <w:tc>
          <w:tcPr>
            <w:tcW w:w="2076" w:type="dxa"/>
            <w:noWrap w:val="0"/>
            <w:vAlign w:val="top"/>
          </w:tcPr>
          <w:p w14:paraId="0810733A">
            <w:pPr>
              <w:jc w:val="left"/>
              <w:rPr>
                <w:rFonts w:hint="eastAsia" w:ascii="宋体" w:hAnsi="宋体" w:eastAsia="宋体" w:cs="宋体"/>
                <w:color w:val="auto"/>
                <w:highlight w:val="none"/>
              </w:rPr>
            </w:pPr>
            <w:r>
              <w:rPr>
                <w:rFonts w:hint="eastAsia" w:ascii="宋体" w:hAnsi="宋体" w:eastAsia="宋体" w:cs="宋体"/>
                <w:color w:val="auto"/>
                <w:highlight w:val="none"/>
              </w:rPr>
              <w:t>中标人须保证足够的技术人员和时间投入项目中，在项目服务过程中，项目负责人和主要技术人员需常驻用户所在地，且未经用户许可，不得变更项目负责人。该项目的负责人，负责与采购单位的实施部门工作人员接洽工作。</w:t>
            </w:r>
          </w:p>
        </w:tc>
      </w:tr>
    </w:tbl>
    <w:p w14:paraId="59F3E065">
      <w:pPr>
        <w:spacing w:line="360" w:lineRule="auto"/>
        <w:jc w:val="left"/>
        <w:rPr>
          <w:rFonts w:hint="eastAsia" w:ascii="宋体" w:hAnsi="宋体" w:eastAsia="宋体" w:cs="宋体"/>
          <w:b/>
          <w:bCs/>
          <w:szCs w:val="21"/>
        </w:rPr>
      </w:pPr>
    </w:p>
    <w:p w14:paraId="4A70117F">
      <w:pPr>
        <w:spacing w:line="360" w:lineRule="auto"/>
        <w:jc w:val="left"/>
        <w:rPr>
          <w:rFonts w:hint="eastAsia" w:ascii="宋体" w:hAnsi="宋体" w:eastAsia="宋体" w:cs="宋体"/>
          <w:b/>
          <w:bCs/>
          <w:szCs w:val="21"/>
        </w:rPr>
      </w:pPr>
    </w:p>
    <w:p w14:paraId="35E2D185">
      <w:pPr>
        <w:spacing w:line="360" w:lineRule="auto"/>
        <w:jc w:val="left"/>
        <w:rPr>
          <w:rFonts w:hint="eastAsia" w:ascii="宋体" w:hAnsi="宋体" w:eastAsia="宋体" w:cs="宋体"/>
          <w:b/>
          <w:bCs/>
          <w:szCs w:val="21"/>
        </w:rPr>
      </w:pPr>
    </w:p>
    <w:p w14:paraId="58AD5BCF">
      <w:pPr>
        <w:spacing w:line="360" w:lineRule="auto"/>
        <w:jc w:val="left"/>
        <w:rPr>
          <w:rFonts w:hint="eastAsia" w:ascii="宋体" w:hAnsi="宋体" w:eastAsia="宋体" w:cs="宋体"/>
          <w:b/>
          <w:bCs/>
          <w:szCs w:val="21"/>
        </w:rPr>
      </w:pPr>
      <w:r>
        <w:rPr>
          <w:rFonts w:hint="eastAsia" w:ascii="宋体" w:hAnsi="宋体" w:eastAsia="宋体" w:cs="宋体"/>
          <w:b/>
          <w:bCs/>
          <w:szCs w:val="21"/>
        </w:rPr>
        <w:t>技术标准与要求</w:t>
      </w:r>
    </w:p>
    <w:p w14:paraId="488F01A4">
      <w:pPr>
        <w:spacing w:line="360" w:lineRule="auto"/>
        <w:jc w:val="left"/>
        <w:rPr>
          <w:rFonts w:hint="eastAsia" w:ascii="宋体" w:hAnsi="宋体" w:eastAsia="宋体" w:cs="宋体"/>
          <w:b/>
          <w:bCs/>
          <w:szCs w:val="21"/>
        </w:rPr>
      </w:pP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7"/>
        <w:gridCol w:w="837"/>
        <w:gridCol w:w="837"/>
        <w:gridCol w:w="837"/>
        <w:gridCol w:w="869"/>
        <w:gridCol w:w="1350"/>
        <w:gridCol w:w="1350"/>
        <w:gridCol w:w="762"/>
        <w:gridCol w:w="837"/>
      </w:tblGrid>
      <w:tr w14:paraId="3619A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noWrap w:val="0"/>
            <w:vAlign w:val="top"/>
          </w:tcPr>
          <w:p w14:paraId="1E88C2BE">
            <w:pPr>
              <w:jc w:val="center"/>
              <w:rPr>
                <w:color w:val="auto"/>
                <w:highlight w:val="none"/>
              </w:rPr>
            </w:pPr>
            <w:r>
              <w:rPr>
                <w:color w:val="auto"/>
                <w:highlight w:val="none"/>
              </w:rPr>
              <w:t>序号</w:t>
            </w:r>
          </w:p>
        </w:tc>
        <w:tc>
          <w:tcPr>
            <w:tcW w:w="933" w:type="dxa"/>
            <w:noWrap w:val="0"/>
            <w:vAlign w:val="top"/>
          </w:tcPr>
          <w:p w14:paraId="143E6127">
            <w:pPr>
              <w:jc w:val="center"/>
              <w:rPr>
                <w:color w:val="auto"/>
                <w:highlight w:val="none"/>
              </w:rPr>
            </w:pPr>
            <w:r>
              <w:rPr>
                <w:color w:val="auto"/>
                <w:highlight w:val="none"/>
              </w:rPr>
              <w:t>品目名称</w:t>
            </w:r>
          </w:p>
        </w:tc>
        <w:tc>
          <w:tcPr>
            <w:tcW w:w="933" w:type="dxa"/>
            <w:noWrap w:val="0"/>
            <w:vAlign w:val="top"/>
          </w:tcPr>
          <w:p w14:paraId="35528E0B">
            <w:pPr>
              <w:jc w:val="center"/>
              <w:rPr>
                <w:color w:val="auto"/>
                <w:highlight w:val="none"/>
              </w:rPr>
            </w:pPr>
            <w:r>
              <w:rPr>
                <w:color w:val="auto"/>
                <w:highlight w:val="none"/>
              </w:rPr>
              <w:t>标的名称</w:t>
            </w:r>
          </w:p>
        </w:tc>
        <w:tc>
          <w:tcPr>
            <w:tcW w:w="933" w:type="dxa"/>
            <w:noWrap w:val="0"/>
            <w:vAlign w:val="top"/>
          </w:tcPr>
          <w:p w14:paraId="42C2FB07">
            <w:pPr>
              <w:jc w:val="center"/>
              <w:rPr>
                <w:color w:val="auto"/>
                <w:highlight w:val="none"/>
              </w:rPr>
            </w:pPr>
            <w:r>
              <w:rPr>
                <w:color w:val="auto"/>
                <w:highlight w:val="none"/>
              </w:rPr>
              <w:t>单位</w:t>
            </w:r>
          </w:p>
        </w:tc>
        <w:tc>
          <w:tcPr>
            <w:tcW w:w="933" w:type="dxa"/>
            <w:noWrap w:val="0"/>
            <w:vAlign w:val="top"/>
          </w:tcPr>
          <w:p w14:paraId="0BF8237F">
            <w:pPr>
              <w:jc w:val="center"/>
              <w:rPr>
                <w:color w:val="auto"/>
                <w:highlight w:val="none"/>
              </w:rPr>
            </w:pPr>
            <w:r>
              <w:rPr>
                <w:color w:val="auto"/>
                <w:highlight w:val="none"/>
              </w:rPr>
              <w:t>数量</w:t>
            </w:r>
          </w:p>
        </w:tc>
        <w:tc>
          <w:tcPr>
            <w:tcW w:w="933" w:type="dxa"/>
            <w:noWrap w:val="0"/>
            <w:vAlign w:val="top"/>
          </w:tcPr>
          <w:p w14:paraId="79354A6A">
            <w:pPr>
              <w:jc w:val="center"/>
              <w:rPr>
                <w:color w:val="auto"/>
                <w:highlight w:val="none"/>
              </w:rPr>
            </w:pPr>
            <w:r>
              <w:rPr>
                <w:color w:val="auto"/>
                <w:highlight w:val="none"/>
              </w:rPr>
              <w:t>分项预算单价（元）</w:t>
            </w:r>
          </w:p>
        </w:tc>
        <w:tc>
          <w:tcPr>
            <w:tcW w:w="933" w:type="dxa"/>
            <w:noWrap w:val="0"/>
            <w:vAlign w:val="top"/>
          </w:tcPr>
          <w:p w14:paraId="5DA32653">
            <w:pPr>
              <w:jc w:val="center"/>
              <w:rPr>
                <w:color w:val="auto"/>
                <w:highlight w:val="none"/>
              </w:rPr>
            </w:pPr>
            <w:r>
              <w:rPr>
                <w:color w:val="auto"/>
                <w:highlight w:val="none"/>
              </w:rPr>
              <w:t>分项预算总价（元）</w:t>
            </w:r>
          </w:p>
        </w:tc>
        <w:tc>
          <w:tcPr>
            <w:tcW w:w="840" w:type="dxa"/>
            <w:noWrap w:val="0"/>
            <w:vAlign w:val="top"/>
          </w:tcPr>
          <w:p w14:paraId="1794E2A9">
            <w:pPr>
              <w:rPr>
                <w:color w:val="auto"/>
                <w:highlight w:val="none"/>
              </w:rPr>
            </w:pPr>
            <w:r>
              <w:rPr>
                <w:color w:val="auto"/>
                <w:highlight w:val="none"/>
              </w:rPr>
              <w:t>所属行业</w:t>
            </w:r>
          </w:p>
        </w:tc>
        <w:tc>
          <w:tcPr>
            <w:tcW w:w="933" w:type="dxa"/>
            <w:noWrap w:val="0"/>
            <w:vAlign w:val="top"/>
          </w:tcPr>
          <w:p w14:paraId="447EA0C3">
            <w:pPr>
              <w:jc w:val="center"/>
              <w:rPr>
                <w:color w:val="auto"/>
                <w:highlight w:val="none"/>
              </w:rPr>
            </w:pPr>
            <w:r>
              <w:rPr>
                <w:color w:val="auto"/>
                <w:highlight w:val="none"/>
              </w:rPr>
              <w:t>技术要求</w:t>
            </w:r>
          </w:p>
        </w:tc>
      </w:tr>
      <w:tr w14:paraId="577C8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noWrap w:val="0"/>
            <w:vAlign w:val="top"/>
          </w:tcPr>
          <w:p w14:paraId="2BA15270">
            <w:pPr>
              <w:jc w:val="center"/>
              <w:rPr>
                <w:color w:val="auto"/>
                <w:highlight w:val="none"/>
              </w:rPr>
            </w:pPr>
            <w:r>
              <w:rPr>
                <w:color w:val="auto"/>
                <w:highlight w:val="none"/>
              </w:rPr>
              <w:t>1</w:t>
            </w:r>
          </w:p>
        </w:tc>
        <w:tc>
          <w:tcPr>
            <w:tcW w:w="933" w:type="dxa"/>
            <w:noWrap w:val="0"/>
            <w:vAlign w:val="top"/>
          </w:tcPr>
          <w:p w14:paraId="62DDA968">
            <w:pPr>
              <w:jc w:val="left"/>
              <w:rPr>
                <w:color w:val="auto"/>
                <w:highlight w:val="none"/>
              </w:rPr>
            </w:pPr>
          </w:p>
        </w:tc>
        <w:tc>
          <w:tcPr>
            <w:tcW w:w="933" w:type="dxa"/>
            <w:noWrap w:val="0"/>
            <w:vAlign w:val="top"/>
          </w:tcPr>
          <w:p w14:paraId="637AAC8B">
            <w:pPr>
              <w:jc w:val="left"/>
              <w:rPr>
                <w:color w:val="auto"/>
                <w:highlight w:val="none"/>
              </w:rPr>
            </w:pPr>
            <w:r>
              <w:rPr>
                <w:rFonts w:hint="eastAsia" w:ascii="宋体" w:hAnsi="宋体"/>
                <w:color w:val="auto"/>
                <w:szCs w:val="21"/>
                <w:highlight w:val="none"/>
              </w:rPr>
              <w:t>韶关市城区颗粒物激光雷达走航监测能力建设项目</w:t>
            </w:r>
          </w:p>
        </w:tc>
        <w:tc>
          <w:tcPr>
            <w:tcW w:w="933" w:type="dxa"/>
            <w:noWrap w:val="0"/>
            <w:vAlign w:val="top"/>
          </w:tcPr>
          <w:p w14:paraId="7F2245EF">
            <w:pPr>
              <w:jc w:val="left"/>
              <w:rPr>
                <w:color w:val="auto"/>
                <w:highlight w:val="none"/>
              </w:rPr>
            </w:pPr>
            <w:r>
              <w:rPr>
                <w:color w:val="auto"/>
                <w:highlight w:val="none"/>
              </w:rPr>
              <w:t>项</w:t>
            </w:r>
          </w:p>
        </w:tc>
        <w:tc>
          <w:tcPr>
            <w:tcW w:w="933" w:type="dxa"/>
            <w:noWrap w:val="0"/>
            <w:vAlign w:val="top"/>
          </w:tcPr>
          <w:p w14:paraId="719A187D">
            <w:pPr>
              <w:jc w:val="right"/>
              <w:rPr>
                <w:color w:val="auto"/>
                <w:highlight w:val="none"/>
              </w:rPr>
            </w:pPr>
            <w:r>
              <w:rPr>
                <w:color w:val="auto"/>
                <w:highlight w:val="none"/>
              </w:rPr>
              <w:t>1.00</w:t>
            </w:r>
          </w:p>
        </w:tc>
        <w:tc>
          <w:tcPr>
            <w:tcW w:w="933" w:type="dxa"/>
            <w:noWrap w:val="0"/>
            <w:vAlign w:val="top"/>
          </w:tcPr>
          <w:p w14:paraId="0E00B5F3">
            <w:pPr>
              <w:jc w:val="right"/>
              <w:rPr>
                <w:color w:val="auto"/>
                <w:highlight w:val="none"/>
              </w:rPr>
            </w:pPr>
            <w:r>
              <w:rPr>
                <w:color w:val="auto"/>
                <w:highlight w:val="none"/>
              </w:rPr>
              <w:t>1,</w:t>
            </w:r>
            <w:r>
              <w:rPr>
                <w:rFonts w:hint="eastAsia"/>
                <w:color w:val="auto"/>
                <w:highlight w:val="none"/>
              </w:rPr>
              <w:t>7</w:t>
            </w:r>
            <w:r>
              <w:rPr>
                <w:color w:val="auto"/>
                <w:highlight w:val="none"/>
              </w:rPr>
              <w:t>00,000.00</w:t>
            </w:r>
          </w:p>
        </w:tc>
        <w:tc>
          <w:tcPr>
            <w:tcW w:w="933" w:type="dxa"/>
            <w:noWrap w:val="0"/>
            <w:vAlign w:val="top"/>
          </w:tcPr>
          <w:p w14:paraId="3AD56FA5">
            <w:pPr>
              <w:jc w:val="right"/>
              <w:rPr>
                <w:color w:val="auto"/>
                <w:highlight w:val="none"/>
              </w:rPr>
            </w:pPr>
            <w:r>
              <w:rPr>
                <w:color w:val="auto"/>
                <w:highlight w:val="none"/>
              </w:rPr>
              <w:t>1,</w:t>
            </w:r>
            <w:r>
              <w:rPr>
                <w:rFonts w:hint="eastAsia"/>
                <w:color w:val="auto"/>
                <w:highlight w:val="none"/>
              </w:rPr>
              <w:t>7</w:t>
            </w:r>
            <w:r>
              <w:rPr>
                <w:color w:val="auto"/>
                <w:highlight w:val="none"/>
              </w:rPr>
              <w:t>00,000.00</w:t>
            </w:r>
          </w:p>
        </w:tc>
        <w:tc>
          <w:tcPr>
            <w:tcW w:w="840" w:type="dxa"/>
            <w:noWrap w:val="0"/>
            <w:vAlign w:val="top"/>
          </w:tcPr>
          <w:p w14:paraId="05A1BFE5">
            <w:pPr>
              <w:rPr>
                <w:color w:val="auto"/>
                <w:highlight w:val="none"/>
              </w:rPr>
            </w:pPr>
          </w:p>
        </w:tc>
        <w:tc>
          <w:tcPr>
            <w:tcW w:w="933" w:type="dxa"/>
            <w:noWrap w:val="0"/>
            <w:vAlign w:val="top"/>
          </w:tcPr>
          <w:p w14:paraId="202E8F8E">
            <w:pPr>
              <w:rPr>
                <w:color w:val="auto"/>
                <w:highlight w:val="none"/>
              </w:rPr>
            </w:pPr>
            <w:r>
              <w:rPr>
                <w:color w:val="auto"/>
                <w:highlight w:val="none"/>
              </w:rPr>
              <w:t>详见附表一</w:t>
            </w:r>
          </w:p>
        </w:tc>
      </w:tr>
    </w:tbl>
    <w:p w14:paraId="7F6B1F44">
      <w:pPr>
        <w:rPr>
          <w:b/>
          <w:color w:val="auto"/>
          <w:highlight w:val="none"/>
        </w:rPr>
      </w:pPr>
    </w:p>
    <w:p w14:paraId="461B2D45">
      <w:pPr>
        <w:spacing w:line="360" w:lineRule="auto"/>
        <w:jc w:val="left"/>
        <w:rPr>
          <w:rFonts w:hint="eastAsia" w:ascii="宋体" w:hAnsi="宋体" w:eastAsia="宋体" w:cs="宋体"/>
          <w:b/>
          <w:bCs/>
          <w:szCs w:val="21"/>
        </w:rPr>
      </w:pPr>
      <w:r>
        <w:rPr>
          <w:rFonts w:hint="eastAsia" w:ascii="宋体" w:hAnsi="宋体" w:eastAsia="宋体" w:cs="宋体"/>
          <w:b/>
          <w:bCs/>
          <w:szCs w:val="21"/>
        </w:rPr>
        <w:t>附表一：韶关市城区颗粒物激光雷达走航监测能力建设项目</w:t>
      </w:r>
    </w:p>
    <w:tbl>
      <w:tblPr>
        <w:tblStyle w:val="22"/>
        <w:tblpPr w:leftFromText="180" w:rightFromText="180" w:vertAnchor="text" w:horzAnchor="page" w:tblpX="1794" w:tblpY="4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4261"/>
        <w:gridCol w:w="427"/>
        <w:gridCol w:w="427"/>
        <w:gridCol w:w="427"/>
        <w:gridCol w:w="900"/>
        <w:gridCol w:w="900"/>
        <w:gridCol w:w="436"/>
      </w:tblGrid>
      <w:tr w14:paraId="3DCD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4912FB94">
            <w:pPr>
              <w:jc w:val="center"/>
              <w:rPr>
                <w:rFonts w:hint="eastAsia" w:ascii="宋体" w:hAnsi="宋体" w:eastAsia="宋体" w:cs="宋体"/>
                <w:color w:val="auto"/>
                <w:highlight w:val="none"/>
              </w:rPr>
            </w:pPr>
            <w:r>
              <w:rPr>
                <w:rFonts w:hint="eastAsia" w:ascii="宋体" w:hAnsi="宋体" w:eastAsia="宋体" w:cs="宋体"/>
                <w:color w:val="auto"/>
                <w:highlight w:val="none"/>
              </w:rPr>
              <w:t>货物名称</w:t>
            </w:r>
          </w:p>
        </w:tc>
        <w:tc>
          <w:tcPr>
            <w:tcW w:w="4267" w:type="dxa"/>
            <w:noWrap w:val="0"/>
            <w:vAlign w:val="center"/>
          </w:tcPr>
          <w:p w14:paraId="77BF697F">
            <w:pPr>
              <w:jc w:val="center"/>
              <w:rPr>
                <w:rFonts w:hint="eastAsia" w:ascii="宋体" w:hAnsi="宋体" w:eastAsia="宋体" w:cs="宋体"/>
                <w:color w:val="auto"/>
                <w:highlight w:val="none"/>
              </w:rPr>
            </w:pPr>
            <w:r>
              <w:rPr>
                <w:rFonts w:hint="eastAsia" w:ascii="宋体" w:hAnsi="宋体" w:eastAsia="宋体" w:cs="宋体"/>
                <w:color w:val="auto"/>
                <w:highlight w:val="none"/>
              </w:rPr>
              <w:t>技术参数、配置/主要配置</w:t>
            </w:r>
          </w:p>
        </w:tc>
        <w:tc>
          <w:tcPr>
            <w:tcW w:w="427" w:type="dxa"/>
            <w:noWrap w:val="0"/>
            <w:vAlign w:val="center"/>
          </w:tcPr>
          <w:p w14:paraId="4A388E4D">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427" w:type="dxa"/>
            <w:noWrap w:val="0"/>
            <w:vAlign w:val="center"/>
          </w:tcPr>
          <w:p w14:paraId="220715DD">
            <w:pPr>
              <w:jc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427" w:type="dxa"/>
            <w:noWrap w:val="0"/>
            <w:vAlign w:val="center"/>
          </w:tcPr>
          <w:p w14:paraId="14A87C83">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900" w:type="dxa"/>
            <w:noWrap w:val="0"/>
            <w:vAlign w:val="center"/>
          </w:tcPr>
          <w:p w14:paraId="2D27F4E2">
            <w:pPr>
              <w:jc w:val="center"/>
              <w:rPr>
                <w:rFonts w:hint="eastAsia" w:ascii="宋体" w:hAnsi="宋体" w:eastAsia="宋体" w:cs="宋体"/>
                <w:color w:val="auto"/>
                <w:highlight w:val="none"/>
              </w:rPr>
            </w:pPr>
            <w:r>
              <w:rPr>
                <w:rFonts w:hint="eastAsia" w:ascii="宋体" w:hAnsi="宋体" w:eastAsia="宋体" w:cs="宋体"/>
                <w:color w:val="auto"/>
                <w:highlight w:val="none"/>
              </w:rPr>
              <w:t>最高单价限价（元）</w:t>
            </w:r>
          </w:p>
        </w:tc>
        <w:tc>
          <w:tcPr>
            <w:tcW w:w="900" w:type="dxa"/>
            <w:noWrap w:val="0"/>
            <w:vAlign w:val="center"/>
          </w:tcPr>
          <w:p w14:paraId="47B7FF63">
            <w:pPr>
              <w:jc w:val="center"/>
              <w:rPr>
                <w:rFonts w:hint="eastAsia" w:ascii="宋体" w:hAnsi="宋体" w:eastAsia="宋体" w:cs="宋体"/>
                <w:color w:val="auto"/>
                <w:highlight w:val="none"/>
              </w:rPr>
            </w:pPr>
            <w:r>
              <w:rPr>
                <w:rFonts w:hint="eastAsia" w:ascii="宋体" w:hAnsi="宋体" w:eastAsia="宋体" w:cs="宋体"/>
                <w:color w:val="auto"/>
                <w:highlight w:val="none"/>
              </w:rPr>
              <w:t>最高总价限价（元）</w:t>
            </w:r>
          </w:p>
        </w:tc>
        <w:tc>
          <w:tcPr>
            <w:tcW w:w="436" w:type="dxa"/>
            <w:noWrap w:val="0"/>
            <w:vAlign w:val="center"/>
          </w:tcPr>
          <w:p w14:paraId="6D63127D">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4AC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38" w:type="dxa"/>
            <w:noWrap w:val="0"/>
            <w:vAlign w:val="center"/>
          </w:tcPr>
          <w:p w14:paraId="2E217DB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颗粒物激光雷达（核心产品）</w:t>
            </w:r>
          </w:p>
        </w:tc>
        <w:tc>
          <w:tcPr>
            <w:tcW w:w="4267" w:type="dxa"/>
            <w:noWrap w:val="0"/>
            <w:vAlign w:val="top"/>
          </w:tcPr>
          <w:p w14:paraId="2B5DCFB9">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1、颗粒物激光雷达主要功能要求：可以探测消光系数、退偏振比、颗粒物浓度、光学厚度、边界层、能见度和云信息等参数。</w:t>
            </w:r>
          </w:p>
          <w:p w14:paraId="63119DFE">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2、多种探测模式可选，包含且不限于走航模式、垂直模式、水平扫描模式等；</w:t>
            </w:r>
          </w:p>
          <w:p w14:paraId="3B9E0E09">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3、工作波段：532nm；</w:t>
            </w:r>
          </w:p>
          <w:p w14:paraId="11514F12">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4、激光重复频率：1Hz-7kHz可调；</w:t>
            </w:r>
          </w:p>
          <w:p w14:paraId="4CBF37A7">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5、脉冲能量≥10μJ；</w:t>
            </w:r>
          </w:p>
          <w:p w14:paraId="013BB1E8">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6、▲主机功耗：≤150W；（投标人于投标文件中提供所投产品由国家认可的第三方检测（试验）机构出具的满足本项技术参数的检测（试验）报告复印件，加盖投标人电子签章）；</w:t>
            </w:r>
          </w:p>
          <w:p w14:paraId="306FFFDD">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bCs/>
                <w:color w:val="auto"/>
                <w:szCs w:val="21"/>
                <w:highlight w:val="none"/>
              </w:rPr>
              <w:t>接收口径：</w:t>
            </w:r>
            <w:r>
              <w:rPr>
                <w:rFonts w:hint="eastAsia" w:ascii="宋体" w:hAnsi="宋体" w:eastAsia="宋体" w:cs="宋体"/>
                <w:color w:val="auto"/>
                <w:kern w:val="0"/>
                <w:szCs w:val="21"/>
                <w:highlight w:val="none"/>
              </w:rPr>
              <w:t>≤170mm</w:t>
            </w:r>
            <w:r>
              <w:rPr>
                <w:rFonts w:hint="eastAsia" w:ascii="宋体" w:hAnsi="宋体" w:eastAsia="宋体" w:cs="宋体"/>
                <w:color w:val="auto"/>
                <w:highlight w:val="none"/>
              </w:rPr>
              <w:t>；</w:t>
            </w:r>
          </w:p>
          <w:p w14:paraId="075F7FCC">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8、探测盲区距离：≤</w:t>
            </w:r>
            <w:r>
              <w:rPr>
                <w:rFonts w:hint="eastAsia" w:ascii="宋体" w:hAnsi="宋体" w:eastAsia="宋体" w:cs="宋体"/>
                <w:color w:val="auto"/>
                <w:highlight w:val="none"/>
                <w:lang w:val="en-US" w:eastAsia="zh-CN"/>
              </w:rPr>
              <w:t>75</w:t>
            </w:r>
            <w:r>
              <w:rPr>
                <w:rFonts w:hint="eastAsia" w:ascii="宋体" w:hAnsi="宋体" w:eastAsia="宋体" w:cs="宋体"/>
                <w:color w:val="auto"/>
                <w:highlight w:val="none"/>
              </w:rPr>
              <w:t>m；</w:t>
            </w:r>
          </w:p>
          <w:p w14:paraId="166AF171">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9、有效探测距离：≥</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km；</w:t>
            </w:r>
          </w:p>
          <w:p w14:paraId="0F5ACE51">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10、▲空间探测信噪比：</w:t>
            </w:r>
            <w:r>
              <w:rPr>
                <w:rFonts w:hint="eastAsia" w:ascii="宋体" w:hAnsi="宋体" w:eastAsia="宋体" w:cs="宋体"/>
                <w:color w:val="auto"/>
                <w:kern w:val="0"/>
                <w:szCs w:val="21"/>
                <w:highlight w:val="none"/>
              </w:rPr>
              <w:t>≥15dB</w:t>
            </w:r>
            <w:r>
              <w:rPr>
                <w:rFonts w:hint="eastAsia" w:ascii="宋体" w:hAnsi="宋体" w:eastAsia="宋体" w:cs="宋体"/>
                <w:color w:val="auto"/>
                <w:highlight w:val="none"/>
              </w:rPr>
              <w:t>；（投标人于投标文件中提供所投产品由国家认可的第三方检测（试验）机构出具的满足本项技术参数的检测（试验）报告复印件，加盖投标人电子签章）；</w:t>
            </w:r>
          </w:p>
          <w:p w14:paraId="0A5B288E">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11、扫描参数及软件控制要求：水平扫描角度范围： 0°～360°，垂直剖面扫描角度：0°～180°；</w:t>
            </w:r>
          </w:p>
          <w:p w14:paraId="35627F35">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12、扫描速度：≤30°/s；</w:t>
            </w:r>
          </w:p>
          <w:p w14:paraId="16A44ACF">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13、时间分辨率：≥3s；</w:t>
            </w:r>
          </w:p>
          <w:p w14:paraId="7515703E">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14、实时数据存储与传输：颗粒物实时数据具有本地实时存储与实时传输功能，可通过无线传输等方式传输到服务器。</w:t>
            </w:r>
          </w:p>
          <w:p w14:paraId="71356E7F">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15、▲空间分辨率：3.75m及其倍数，可调。（投标人于投标文件中提供所投产品由国家认可的第三方检测（试验）机构出具的满足本项技术参数的检测（试验）报告复印件，加盖投标人电子签章）；</w:t>
            </w:r>
          </w:p>
          <w:p w14:paraId="6294CF0A">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16、▲设备防护等级：IP 66（投标人于投标文件中提供所投产品由国家认可的第三方检测（试验）机构出具的满足本项技术参数的检测（试验）报告复印件，加盖投标人电子签章）</w:t>
            </w:r>
          </w:p>
          <w:p w14:paraId="347C60C5">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17、▲较小体积安装携带方便：整体集成化设计，元器件分布合理美观，较小的整体尺寸、重量便于携带与机器设备安装。</w:t>
            </w:r>
            <w:r>
              <w:rPr>
                <w:rFonts w:hint="eastAsia" w:ascii="宋体" w:hAnsi="宋体" w:eastAsia="宋体" w:cs="宋体"/>
                <w:color w:val="auto"/>
                <w:kern w:val="0"/>
                <w:szCs w:val="21"/>
                <w:highlight w:val="none"/>
              </w:rPr>
              <w:t>安装便捷性：雷达主机尺寸≤</w:t>
            </w:r>
            <w:r>
              <w:rPr>
                <w:rFonts w:hint="eastAsia" w:ascii="宋体" w:hAnsi="宋体" w:eastAsia="宋体" w:cs="宋体"/>
                <w:color w:val="auto"/>
                <w:kern w:val="0"/>
                <w:szCs w:val="21"/>
                <w:highlight w:val="none"/>
                <w:lang w:val="en-US" w:eastAsia="zh-CN"/>
              </w:rPr>
              <w:t>700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350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350</w:t>
            </w:r>
            <w:r>
              <w:rPr>
                <w:rFonts w:hint="eastAsia" w:ascii="宋体" w:hAnsi="宋体" w:eastAsia="宋体" w:cs="宋体"/>
                <w:color w:val="auto"/>
                <w:kern w:val="0"/>
                <w:szCs w:val="21"/>
                <w:highlight w:val="none"/>
              </w:rPr>
              <w:t>（mm），雷达主机重量≤</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kg</w:t>
            </w:r>
            <w:r>
              <w:rPr>
                <w:rFonts w:hint="eastAsia" w:ascii="宋体" w:hAnsi="宋体" w:eastAsia="宋体" w:cs="宋体"/>
                <w:color w:val="auto"/>
                <w:highlight w:val="none"/>
              </w:rPr>
              <w:t>（投标人于投标文件中提供所投产品由国家认可的第三方检测（试验）机构出具的满足本项技术参数的检测（试验）报告复印件，加盖投标人电子签章）</w:t>
            </w:r>
          </w:p>
          <w:p w14:paraId="4DC32940">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18</w:t>
            </w:r>
            <w:r>
              <w:rPr>
                <w:rFonts w:hint="eastAsia" w:ascii="宋体" w:hAnsi="宋体" w:eastAsia="宋体" w:cs="宋体"/>
                <w:color w:val="auto"/>
                <w:highlight w:val="none"/>
              </w:rPr>
              <w:t>、支持垂直监测图谱绘制，剖面图谱绘制，水平扫描图谱绘制，走航监谱绘制；</w:t>
            </w:r>
          </w:p>
          <w:p w14:paraId="784218CF">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rPr>
              <w:t>、支持在线修改色谱范围值，重绘制扫描图谱；</w:t>
            </w:r>
          </w:p>
          <w:p w14:paraId="14D8E418">
            <w:pPr>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、可结合GIS地图展示雷达图谱，在水平扫描模式下，格栅化扫描区域，支持鼠标点击色谱图显示对应位置“消光系数”数值；</w:t>
            </w:r>
          </w:p>
        </w:tc>
        <w:tc>
          <w:tcPr>
            <w:tcW w:w="427" w:type="dxa"/>
            <w:noWrap w:val="0"/>
            <w:vAlign w:val="center"/>
          </w:tcPr>
          <w:p w14:paraId="7F9FA7E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国产</w:t>
            </w:r>
          </w:p>
        </w:tc>
        <w:tc>
          <w:tcPr>
            <w:tcW w:w="427" w:type="dxa"/>
            <w:noWrap w:val="0"/>
            <w:vAlign w:val="center"/>
          </w:tcPr>
          <w:p w14:paraId="062BD9C8">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427" w:type="dxa"/>
            <w:noWrap w:val="0"/>
            <w:vAlign w:val="center"/>
          </w:tcPr>
          <w:p w14:paraId="7822FF0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00" w:type="dxa"/>
            <w:noWrap w:val="0"/>
            <w:vAlign w:val="center"/>
          </w:tcPr>
          <w:p w14:paraId="433D6735">
            <w:pPr>
              <w:jc w:val="left"/>
              <w:rPr>
                <w:rFonts w:hint="eastAsia" w:ascii="宋体" w:hAnsi="宋体" w:eastAsia="宋体" w:cs="宋体"/>
                <w:color w:val="auto"/>
                <w:szCs w:val="21"/>
                <w:highlight w:val="none"/>
              </w:rPr>
            </w:pPr>
          </w:p>
        </w:tc>
        <w:tc>
          <w:tcPr>
            <w:tcW w:w="900" w:type="dxa"/>
            <w:noWrap w:val="0"/>
            <w:vAlign w:val="center"/>
          </w:tcPr>
          <w:p w14:paraId="6E9C8ED5">
            <w:pPr>
              <w:jc w:val="left"/>
              <w:rPr>
                <w:rFonts w:hint="eastAsia" w:ascii="宋体" w:hAnsi="宋体" w:eastAsia="宋体" w:cs="宋体"/>
                <w:color w:val="auto"/>
                <w:szCs w:val="21"/>
                <w:highlight w:val="none"/>
              </w:rPr>
            </w:pPr>
          </w:p>
        </w:tc>
        <w:tc>
          <w:tcPr>
            <w:tcW w:w="436" w:type="dxa"/>
            <w:noWrap w:val="0"/>
            <w:vAlign w:val="top"/>
          </w:tcPr>
          <w:p w14:paraId="37B2058A">
            <w:pPr>
              <w:jc w:val="left"/>
              <w:rPr>
                <w:rFonts w:hint="eastAsia" w:ascii="宋体" w:hAnsi="宋体" w:eastAsia="宋体" w:cs="宋体"/>
                <w:color w:val="auto"/>
                <w:szCs w:val="21"/>
                <w:highlight w:val="none"/>
              </w:rPr>
            </w:pPr>
          </w:p>
        </w:tc>
      </w:tr>
      <w:tr w14:paraId="0A18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38" w:type="dxa"/>
            <w:noWrap w:val="0"/>
            <w:vAlign w:val="center"/>
          </w:tcPr>
          <w:p w14:paraId="2791BA3D">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走航车改装</w:t>
            </w:r>
          </w:p>
        </w:tc>
        <w:tc>
          <w:tcPr>
            <w:tcW w:w="4267" w:type="dxa"/>
            <w:noWrap w:val="0"/>
            <w:vAlign w:val="top"/>
          </w:tcPr>
          <w:p w14:paraId="738ECFE2">
            <w:pPr>
              <w:widowControl/>
              <w:numPr>
                <w:ilvl w:val="0"/>
                <w:numId w:val="2"/>
              </w:numPr>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用户提供走航车，按照用户的需求在走航车上改装，改装后如影响车辆上牌，需协助提供车辆改装公告。</w:t>
            </w:r>
          </w:p>
          <w:p w14:paraId="6400885A">
            <w:pPr>
              <w:widowControl/>
              <w:numPr>
                <w:ilvl w:val="0"/>
                <w:numId w:val="2"/>
              </w:numPr>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加装颗粒物激光雷达光学天窗；</w:t>
            </w:r>
          </w:p>
          <w:p w14:paraId="4261055A">
            <w:pPr>
              <w:widowControl/>
              <w:numPr>
                <w:ilvl w:val="0"/>
                <w:numId w:val="2"/>
              </w:numPr>
              <w:jc w:val="left"/>
              <w:rPr>
                <w:rFonts w:hint="eastAsia" w:ascii="宋体" w:hAnsi="宋体" w:eastAsia="宋体" w:cs="宋体"/>
                <w:color w:val="auto"/>
                <w:szCs w:val="21"/>
                <w:highlight w:val="none"/>
              </w:rPr>
            </w:pPr>
            <w:r>
              <w:rPr>
                <w:rFonts w:hint="eastAsia" w:ascii="宋体" w:hAnsi="宋体" w:eastAsia="宋体" w:cs="宋体"/>
                <w:color w:val="auto"/>
                <w:highlight w:val="none"/>
              </w:rPr>
              <w:t>做好走航车改装设计方案</w:t>
            </w:r>
            <w:r>
              <w:rPr>
                <w:rFonts w:hint="eastAsia" w:ascii="宋体" w:hAnsi="宋体" w:eastAsia="宋体" w:cs="宋体"/>
                <w:color w:val="auto"/>
                <w:szCs w:val="21"/>
                <w:highlight w:val="none"/>
              </w:rPr>
              <w:t>；</w:t>
            </w:r>
          </w:p>
          <w:p w14:paraId="07B5C115">
            <w:pPr>
              <w:widowControl/>
              <w:numPr>
                <w:ilvl w:val="0"/>
                <w:numId w:val="2"/>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加装车载逆变器及其配套电池；</w:t>
            </w:r>
          </w:p>
          <w:p w14:paraId="41120482">
            <w:pPr>
              <w:widowControl/>
              <w:numPr>
                <w:ilvl w:val="0"/>
                <w:numId w:val="2"/>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电池总容量满足日常走航需求；</w:t>
            </w:r>
          </w:p>
          <w:p w14:paraId="4F5AFDEB">
            <w:pPr>
              <w:widowControl/>
              <w:numPr>
                <w:ilvl w:val="0"/>
                <w:numId w:val="2"/>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加装配套安装雷达减震底座；</w:t>
            </w:r>
          </w:p>
          <w:p w14:paraId="1B06280A">
            <w:pPr>
              <w:widowControl/>
              <w:numPr>
                <w:ilvl w:val="0"/>
                <w:numId w:val="2"/>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加装雷达数据展示系统；</w:t>
            </w:r>
          </w:p>
          <w:p w14:paraId="72050549">
            <w:pPr>
              <w:widowControl/>
              <w:numPr>
                <w:ilvl w:val="0"/>
                <w:numId w:val="2"/>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加装4G/5G网络通讯系统</w:t>
            </w:r>
            <w:r>
              <w:rPr>
                <w:rFonts w:hint="eastAsia" w:ascii="宋体" w:hAnsi="宋体" w:eastAsia="宋体" w:cs="宋体"/>
                <w:color w:val="auto"/>
                <w:szCs w:val="21"/>
                <w:highlight w:val="none"/>
                <w:lang w:eastAsia="zh-CN"/>
              </w:rPr>
              <w:t>；</w:t>
            </w:r>
          </w:p>
        </w:tc>
        <w:tc>
          <w:tcPr>
            <w:tcW w:w="427" w:type="dxa"/>
            <w:noWrap w:val="0"/>
            <w:vAlign w:val="center"/>
          </w:tcPr>
          <w:p w14:paraId="44218A7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w:t>
            </w:r>
          </w:p>
        </w:tc>
        <w:tc>
          <w:tcPr>
            <w:tcW w:w="427" w:type="dxa"/>
            <w:noWrap w:val="0"/>
            <w:vAlign w:val="center"/>
          </w:tcPr>
          <w:p w14:paraId="2B2DB4C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27" w:type="dxa"/>
            <w:noWrap w:val="0"/>
            <w:vAlign w:val="center"/>
          </w:tcPr>
          <w:p w14:paraId="2DD6D148">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00" w:type="dxa"/>
            <w:noWrap w:val="0"/>
            <w:vAlign w:val="center"/>
          </w:tcPr>
          <w:p w14:paraId="3BBF8D5D">
            <w:pPr>
              <w:jc w:val="left"/>
              <w:rPr>
                <w:rFonts w:hint="eastAsia" w:ascii="宋体" w:hAnsi="宋体" w:eastAsia="宋体" w:cs="宋体"/>
                <w:color w:val="auto"/>
                <w:szCs w:val="21"/>
                <w:highlight w:val="none"/>
              </w:rPr>
            </w:pPr>
          </w:p>
        </w:tc>
        <w:tc>
          <w:tcPr>
            <w:tcW w:w="900" w:type="dxa"/>
            <w:noWrap w:val="0"/>
            <w:vAlign w:val="center"/>
          </w:tcPr>
          <w:p w14:paraId="30615897">
            <w:pPr>
              <w:jc w:val="left"/>
              <w:rPr>
                <w:rFonts w:hint="eastAsia" w:ascii="宋体" w:hAnsi="宋体" w:eastAsia="宋体" w:cs="宋体"/>
                <w:color w:val="auto"/>
                <w:szCs w:val="21"/>
                <w:highlight w:val="none"/>
              </w:rPr>
            </w:pPr>
          </w:p>
        </w:tc>
        <w:tc>
          <w:tcPr>
            <w:tcW w:w="436" w:type="dxa"/>
            <w:noWrap w:val="0"/>
            <w:vAlign w:val="top"/>
          </w:tcPr>
          <w:p w14:paraId="08118216">
            <w:pPr>
              <w:jc w:val="left"/>
              <w:rPr>
                <w:rFonts w:hint="eastAsia" w:ascii="宋体" w:hAnsi="宋体" w:eastAsia="宋体" w:cs="宋体"/>
                <w:color w:val="auto"/>
                <w:szCs w:val="21"/>
                <w:highlight w:val="none"/>
              </w:rPr>
            </w:pPr>
          </w:p>
        </w:tc>
      </w:tr>
      <w:tr w14:paraId="5B96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noWrap w:val="0"/>
            <w:vAlign w:val="center"/>
          </w:tcPr>
          <w:p w14:paraId="152BBFF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运维服务</w:t>
            </w:r>
          </w:p>
        </w:tc>
        <w:tc>
          <w:tcPr>
            <w:tcW w:w="4267" w:type="dxa"/>
            <w:noWrap w:val="0"/>
            <w:vAlign w:val="top"/>
          </w:tcPr>
          <w:p w14:paraId="2C75C5E3">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颗粒物雷达质保3年。</w:t>
            </w:r>
          </w:p>
          <w:p w14:paraId="10DBA672">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lang w:eastAsia="zh-CN"/>
              </w:rPr>
              <w:t>安排</w:t>
            </w:r>
            <w:r>
              <w:rPr>
                <w:rFonts w:hint="eastAsia" w:ascii="宋体" w:hAnsi="宋体" w:eastAsia="宋体" w:cs="宋体"/>
                <w:color w:val="auto"/>
                <w:szCs w:val="21"/>
                <w:highlight w:val="none"/>
              </w:rPr>
              <w:t>韶关市设备运维人员2人，按照用户的需求能够1小时到达现场。</w:t>
            </w:r>
          </w:p>
          <w:p w14:paraId="1F9183E8">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提供颗粒物激光雷达运维服务，按照用户的需求提供雷达的数据分析，例如周报、月报，保证定期总结本地污染过程，结合空气站数据综合分析污染成因。</w:t>
            </w:r>
          </w:p>
          <w:p w14:paraId="3B71E7A0">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按照用户的需求走航，监测本地污染过程，可以提供月报、周报、《本地污染过程雷达监测报告》。</w:t>
            </w:r>
          </w:p>
          <w:p w14:paraId="4C50859C">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按照用户的需求提供水平扫描监测城区及周边污染排放及分布，形成《本地污染分布周报》或《本地污染源排放扩散影响周报》；</w:t>
            </w:r>
          </w:p>
          <w:p w14:paraId="5456E0A0">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按照用户的需求提供雷达数据综合分析，可以形成《本地空气质量影响月报》，在污染过程结束形成《本地污染过程分析报告》。</w:t>
            </w:r>
          </w:p>
          <w:p w14:paraId="72347D77">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定期对颗粒物激光雷达进行保养维护，检查设备的运行状态。</w:t>
            </w:r>
          </w:p>
          <w:p w14:paraId="3A1B1032">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及时与用户沟通仪器运行状态，及数据使用状况是否正常并记录。</w:t>
            </w:r>
          </w:p>
          <w:p w14:paraId="2CC9E7C5">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在特殊污染天气下（沙尘、雾疆、重污染天气）按照用户的需求及时对雷达数据进行分析，并提供污染过程数据分析报告，及时报告给用户。</w:t>
            </w:r>
          </w:p>
          <w:p w14:paraId="17C2CA47">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每两周应检查一次激光雷达及工作状态，确保雷达正常工作，数据有效；按照用户的需求提供数据分析报告，对接使用人，为业务工作提供技术及数据支持。</w:t>
            </w:r>
          </w:p>
          <w:p w14:paraId="56DD68D9">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每一个月进行一次仪器故障排查，确保正常工作，数据有效；按照用户的需求提供一个月内整体数据分析，为用户提供大气污染管控建议方案。</w:t>
            </w:r>
          </w:p>
          <w:p w14:paraId="12691A9D">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如现场不能解决故障，需返厂维修，须在14日内解决故障并安装到位，提供仪器维护维修报告。逾期7天未解决故障，须提供同型号备机满足现场业务使用；</w:t>
            </w:r>
          </w:p>
          <w:p w14:paraId="6663E8BE">
            <w:pPr>
              <w:widowControl/>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运维期间负责设备的维护服务。</w:t>
            </w:r>
          </w:p>
        </w:tc>
        <w:tc>
          <w:tcPr>
            <w:tcW w:w="427" w:type="dxa"/>
            <w:noWrap w:val="0"/>
            <w:vAlign w:val="center"/>
          </w:tcPr>
          <w:p w14:paraId="52BF2CF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w:t>
            </w:r>
          </w:p>
        </w:tc>
        <w:tc>
          <w:tcPr>
            <w:tcW w:w="427" w:type="dxa"/>
            <w:noWrap w:val="0"/>
            <w:vAlign w:val="center"/>
          </w:tcPr>
          <w:p w14:paraId="3637BC1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27" w:type="dxa"/>
            <w:noWrap w:val="0"/>
            <w:vAlign w:val="center"/>
          </w:tcPr>
          <w:p w14:paraId="36907DB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00" w:type="dxa"/>
            <w:noWrap w:val="0"/>
            <w:vAlign w:val="center"/>
          </w:tcPr>
          <w:p w14:paraId="65325758">
            <w:pPr>
              <w:jc w:val="left"/>
              <w:rPr>
                <w:rFonts w:hint="eastAsia" w:ascii="宋体" w:hAnsi="宋体" w:eastAsia="宋体" w:cs="宋体"/>
                <w:color w:val="auto"/>
                <w:szCs w:val="21"/>
                <w:highlight w:val="none"/>
              </w:rPr>
            </w:pPr>
          </w:p>
        </w:tc>
        <w:tc>
          <w:tcPr>
            <w:tcW w:w="900" w:type="dxa"/>
            <w:noWrap w:val="0"/>
            <w:vAlign w:val="center"/>
          </w:tcPr>
          <w:p w14:paraId="19FB595F">
            <w:pPr>
              <w:jc w:val="left"/>
              <w:rPr>
                <w:rFonts w:hint="eastAsia" w:ascii="宋体" w:hAnsi="宋体" w:eastAsia="宋体" w:cs="宋体"/>
                <w:color w:val="auto"/>
                <w:szCs w:val="21"/>
                <w:highlight w:val="none"/>
              </w:rPr>
            </w:pPr>
          </w:p>
        </w:tc>
        <w:tc>
          <w:tcPr>
            <w:tcW w:w="436" w:type="dxa"/>
            <w:noWrap w:val="0"/>
            <w:vAlign w:val="top"/>
          </w:tcPr>
          <w:p w14:paraId="74AD95C2">
            <w:pPr>
              <w:jc w:val="left"/>
              <w:rPr>
                <w:rFonts w:hint="eastAsia" w:ascii="宋体" w:hAnsi="宋体" w:eastAsia="宋体" w:cs="宋体"/>
                <w:color w:val="auto"/>
                <w:szCs w:val="21"/>
                <w:highlight w:val="none"/>
              </w:rPr>
            </w:pPr>
          </w:p>
        </w:tc>
      </w:tr>
      <w:tr w14:paraId="1C55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0922B81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c>
          <w:tcPr>
            <w:tcW w:w="7784" w:type="dxa"/>
            <w:gridSpan w:val="7"/>
            <w:noWrap w:val="0"/>
            <w:vAlign w:val="center"/>
          </w:tcPr>
          <w:p w14:paraId="4096CD3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打“★”号条款为实质性条款，若有任何一条负偏离或不满足则导致投标无效。</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打“▲”号条款为重要技术参数，若有部分“▲”条款未响应或不满足，将导致其响应性评审加重扣分，但不作为无效投标条款。</w:t>
            </w:r>
          </w:p>
        </w:tc>
      </w:tr>
    </w:tbl>
    <w:p w14:paraId="4CAF56B0">
      <w:pPr>
        <w:rPr>
          <w:rFonts w:hint="eastAsia" w:ascii="宋体" w:hAnsi="宋体" w:eastAsia="宋体" w:cs="宋体"/>
          <w:szCs w:val="21"/>
        </w:rPr>
      </w:pPr>
    </w:p>
    <w:sectPr>
      <w:headerReference r:id="rId3" w:type="default"/>
      <w:footerReference r:id="rId4" w:type="default"/>
      <w:type w:val="continuous"/>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Yu Mincho Light">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4D117CFB">
        <w:pPr>
          <w:pStyle w:val="16"/>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C29B5">
    <w:pPr>
      <w:pStyle w:val="17"/>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F0A81E"/>
    <w:multiLevelType w:val="singleLevel"/>
    <w:tmpl w:val="ECF0A81E"/>
    <w:lvl w:ilvl="0" w:tentative="0">
      <w:start w:val="1"/>
      <w:numFmt w:val="decimal"/>
      <w:suff w:val="nothing"/>
      <w:lvlText w:val="%1、"/>
      <w:lvlJc w:val="left"/>
    </w:lvl>
  </w:abstractNum>
  <w:abstractNum w:abstractNumId="1">
    <w:nsid w:val="12803515"/>
    <w:multiLevelType w:val="singleLevel"/>
    <w:tmpl w:val="12803515"/>
    <w:lvl w:ilvl="0" w:tentative="0">
      <w:start w:val="1"/>
      <w:numFmt w:val="decimal"/>
      <w:suff w:val="nothing"/>
      <w:lvlText w:val="%1、"/>
      <w:lvlJc w:val="left"/>
    </w:lvl>
  </w:abstractNum>
  <w:abstractNum w:abstractNumId="2">
    <w:nsid w:val="2B07A3E0"/>
    <w:multiLevelType w:val="singleLevel"/>
    <w:tmpl w:val="2B07A3E0"/>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YTU4N2I4YzE2YjM5NjM2YjM3OTAwNmM2ZTljM2UifQ=="/>
  </w:docVars>
  <w:rsids>
    <w:rsidRoot w:val="008F294C"/>
    <w:rsid w:val="00017EC7"/>
    <w:rsid w:val="0003109B"/>
    <w:rsid w:val="00033C45"/>
    <w:rsid w:val="0005284C"/>
    <w:rsid w:val="00054A11"/>
    <w:rsid w:val="000762D5"/>
    <w:rsid w:val="000935C6"/>
    <w:rsid w:val="000A7AFC"/>
    <w:rsid w:val="000B2854"/>
    <w:rsid w:val="000C429D"/>
    <w:rsid w:val="000D2BC3"/>
    <w:rsid w:val="000E6FC2"/>
    <w:rsid w:val="001003C8"/>
    <w:rsid w:val="0011378F"/>
    <w:rsid w:val="001250A0"/>
    <w:rsid w:val="001260A5"/>
    <w:rsid w:val="00147E74"/>
    <w:rsid w:val="0016016F"/>
    <w:rsid w:val="001834EA"/>
    <w:rsid w:val="001841F3"/>
    <w:rsid w:val="0018752F"/>
    <w:rsid w:val="001D1349"/>
    <w:rsid w:val="001F72EA"/>
    <w:rsid w:val="002001EF"/>
    <w:rsid w:val="002033DB"/>
    <w:rsid w:val="00212F08"/>
    <w:rsid w:val="002169C6"/>
    <w:rsid w:val="002175D5"/>
    <w:rsid w:val="0022176A"/>
    <w:rsid w:val="00225A3F"/>
    <w:rsid w:val="00245536"/>
    <w:rsid w:val="0025311A"/>
    <w:rsid w:val="00254F64"/>
    <w:rsid w:val="00255E05"/>
    <w:rsid w:val="00276DCD"/>
    <w:rsid w:val="002C181E"/>
    <w:rsid w:val="002C3634"/>
    <w:rsid w:val="002E4D1F"/>
    <w:rsid w:val="00314F7E"/>
    <w:rsid w:val="00317C9C"/>
    <w:rsid w:val="0032514A"/>
    <w:rsid w:val="003437B1"/>
    <w:rsid w:val="00344C2F"/>
    <w:rsid w:val="0035465B"/>
    <w:rsid w:val="00362B69"/>
    <w:rsid w:val="00385822"/>
    <w:rsid w:val="00385995"/>
    <w:rsid w:val="003928D9"/>
    <w:rsid w:val="003E413B"/>
    <w:rsid w:val="003F1CC5"/>
    <w:rsid w:val="003F60A1"/>
    <w:rsid w:val="00412469"/>
    <w:rsid w:val="00424A97"/>
    <w:rsid w:val="004462FE"/>
    <w:rsid w:val="004678AA"/>
    <w:rsid w:val="00475E63"/>
    <w:rsid w:val="004765E2"/>
    <w:rsid w:val="0048273F"/>
    <w:rsid w:val="00482D8C"/>
    <w:rsid w:val="00483773"/>
    <w:rsid w:val="00495EBA"/>
    <w:rsid w:val="004D68A6"/>
    <w:rsid w:val="004E0223"/>
    <w:rsid w:val="004F0BA3"/>
    <w:rsid w:val="005054ED"/>
    <w:rsid w:val="0050637C"/>
    <w:rsid w:val="00513686"/>
    <w:rsid w:val="00535489"/>
    <w:rsid w:val="00564C6D"/>
    <w:rsid w:val="00572F3B"/>
    <w:rsid w:val="00597A7C"/>
    <w:rsid w:val="005A55DD"/>
    <w:rsid w:val="005A5926"/>
    <w:rsid w:val="005C43B4"/>
    <w:rsid w:val="005C71D6"/>
    <w:rsid w:val="005F4DB6"/>
    <w:rsid w:val="00600E35"/>
    <w:rsid w:val="0060634A"/>
    <w:rsid w:val="00653B6E"/>
    <w:rsid w:val="00663784"/>
    <w:rsid w:val="006725E6"/>
    <w:rsid w:val="006A6D70"/>
    <w:rsid w:val="006A7115"/>
    <w:rsid w:val="006A78FE"/>
    <w:rsid w:val="006B6A96"/>
    <w:rsid w:val="006E4B91"/>
    <w:rsid w:val="006F1648"/>
    <w:rsid w:val="007000E9"/>
    <w:rsid w:val="00710B61"/>
    <w:rsid w:val="00721ECA"/>
    <w:rsid w:val="007263B4"/>
    <w:rsid w:val="00745DA6"/>
    <w:rsid w:val="00747877"/>
    <w:rsid w:val="00757E0E"/>
    <w:rsid w:val="007879F5"/>
    <w:rsid w:val="00795440"/>
    <w:rsid w:val="007A5ACA"/>
    <w:rsid w:val="007A6F63"/>
    <w:rsid w:val="007C68B1"/>
    <w:rsid w:val="00801555"/>
    <w:rsid w:val="0080439A"/>
    <w:rsid w:val="00805922"/>
    <w:rsid w:val="0081176D"/>
    <w:rsid w:val="00811888"/>
    <w:rsid w:val="0083635E"/>
    <w:rsid w:val="00841D3F"/>
    <w:rsid w:val="00860E4A"/>
    <w:rsid w:val="00883AD5"/>
    <w:rsid w:val="0089687D"/>
    <w:rsid w:val="0089739C"/>
    <w:rsid w:val="008C41B2"/>
    <w:rsid w:val="008D3B15"/>
    <w:rsid w:val="008F294C"/>
    <w:rsid w:val="009004DB"/>
    <w:rsid w:val="00901872"/>
    <w:rsid w:val="00925546"/>
    <w:rsid w:val="00937842"/>
    <w:rsid w:val="00965317"/>
    <w:rsid w:val="00970F35"/>
    <w:rsid w:val="009778C7"/>
    <w:rsid w:val="00984983"/>
    <w:rsid w:val="009B15EB"/>
    <w:rsid w:val="009B5026"/>
    <w:rsid w:val="009D6B77"/>
    <w:rsid w:val="009E5390"/>
    <w:rsid w:val="00A01D02"/>
    <w:rsid w:val="00A05B88"/>
    <w:rsid w:val="00A153A7"/>
    <w:rsid w:val="00A52B45"/>
    <w:rsid w:val="00A61B87"/>
    <w:rsid w:val="00A64B7B"/>
    <w:rsid w:val="00A670CE"/>
    <w:rsid w:val="00A93230"/>
    <w:rsid w:val="00AC0453"/>
    <w:rsid w:val="00AE4888"/>
    <w:rsid w:val="00AE6905"/>
    <w:rsid w:val="00AF17C0"/>
    <w:rsid w:val="00B270BA"/>
    <w:rsid w:val="00B705A2"/>
    <w:rsid w:val="00B968B6"/>
    <w:rsid w:val="00BC1838"/>
    <w:rsid w:val="00BC4524"/>
    <w:rsid w:val="00BD789C"/>
    <w:rsid w:val="00BE1A28"/>
    <w:rsid w:val="00BE1D36"/>
    <w:rsid w:val="00BE4E22"/>
    <w:rsid w:val="00C00265"/>
    <w:rsid w:val="00C014DB"/>
    <w:rsid w:val="00C119F8"/>
    <w:rsid w:val="00C15EE4"/>
    <w:rsid w:val="00C31CEC"/>
    <w:rsid w:val="00C55A1E"/>
    <w:rsid w:val="00C62E68"/>
    <w:rsid w:val="00C64291"/>
    <w:rsid w:val="00C716DF"/>
    <w:rsid w:val="00CC19A6"/>
    <w:rsid w:val="00CD0F7A"/>
    <w:rsid w:val="00CD344F"/>
    <w:rsid w:val="00CE01F6"/>
    <w:rsid w:val="00CE04E7"/>
    <w:rsid w:val="00CF384C"/>
    <w:rsid w:val="00D179DF"/>
    <w:rsid w:val="00D3200B"/>
    <w:rsid w:val="00D33AD0"/>
    <w:rsid w:val="00D50F38"/>
    <w:rsid w:val="00D65806"/>
    <w:rsid w:val="00D91AC4"/>
    <w:rsid w:val="00D93D79"/>
    <w:rsid w:val="00DA5F0B"/>
    <w:rsid w:val="00E03022"/>
    <w:rsid w:val="00E17256"/>
    <w:rsid w:val="00E20E56"/>
    <w:rsid w:val="00E417D0"/>
    <w:rsid w:val="00E54530"/>
    <w:rsid w:val="00E60FE3"/>
    <w:rsid w:val="00E66699"/>
    <w:rsid w:val="00E7636B"/>
    <w:rsid w:val="00E918EE"/>
    <w:rsid w:val="00EA7FBC"/>
    <w:rsid w:val="00EB2819"/>
    <w:rsid w:val="00EB355B"/>
    <w:rsid w:val="00EB4367"/>
    <w:rsid w:val="00EC1164"/>
    <w:rsid w:val="00EC1C8C"/>
    <w:rsid w:val="00EC20AE"/>
    <w:rsid w:val="00EC4572"/>
    <w:rsid w:val="00EC7E25"/>
    <w:rsid w:val="00ED02BE"/>
    <w:rsid w:val="00ED13B7"/>
    <w:rsid w:val="00ED540F"/>
    <w:rsid w:val="00EE483C"/>
    <w:rsid w:val="00EF1E9F"/>
    <w:rsid w:val="00EF3B66"/>
    <w:rsid w:val="00F02E01"/>
    <w:rsid w:val="00F12096"/>
    <w:rsid w:val="00F15F4A"/>
    <w:rsid w:val="00F56E88"/>
    <w:rsid w:val="00F6286B"/>
    <w:rsid w:val="00F660BD"/>
    <w:rsid w:val="00F80A98"/>
    <w:rsid w:val="00F937F1"/>
    <w:rsid w:val="00FB0B26"/>
    <w:rsid w:val="00FB2B4E"/>
    <w:rsid w:val="00FB5470"/>
    <w:rsid w:val="00FB54B7"/>
    <w:rsid w:val="00FC6132"/>
    <w:rsid w:val="00FD5A4F"/>
    <w:rsid w:val="00FF6D04"/>
    <w:rsid w:val="022219FA"/>
    <w:rsid w:val="026A5C74"/>
    <w:rsid w:val="0278632D"/>
    <w:rsid w:val="02C25881"/>
    <w:rsid w:val="034A5312"/>
    <w:rsid w:val="04697A1A"/>
    <w:rsid w:val="054D1E6D"/>
    <w:rsid w:val="05AD016F"/>
    <w:rsid w:val="0796266C"/>
    <w:rsid w:val="080B2B96"/>
    <w:rsid w:val="082D268A"/>
    <w:rsid w:val="0855058A"/>
    <w:rsid w:val="085E7258"/>
    <w:rsid w:val="08FF209A"/>
    <w:rsid w:val="093E6004"/>
    <w:rsid w:val="09511B81"/>
    <w:rsid w:val="09CC4DF1"/>
    <w:rsid w:val="0AC46B15"/>
    <w:rsid w:val="0CDB396E"/>
    <w:rsid w:val="0D314E66"/>
    <w:rsid w:val="0D963232"/>
    <w:rsid w:val="0E3176E6"/>
    <w:rsid w:val="0E471F36"/>
    <w:rsid w:val="0E61583B"/>
    <w:rsid w:val="0E6D2AA6"/>
    <w:rsid w:val="0EE131DA"/>
    <w:rsid w:val="0FAE4E7B"/>
    <w:rsid w:val="103507FE"/>
    <w:rsid w:val="10B42E64"/>
    <w:rsid w:val="10C20BDE"/>
    <w:rsid w:val="10EB49F0"/>
    <w:rsid w:val="10F10A29"/>
    <w:rsid w:val="11220530"/>
    <w:rsid w:val="12054C5A"/>
    <w:rsid w:val="13207AFC"/>
    <w:rsid w:val="14FC1868"/>
    <w:rsid w:val="152A0CC7"/>
    <w:rsid w:val="16F26790"/>
    <w:rsid w:val="17716EB9"/>
    <w:rsid w:val="18B1316E"/>
    <w:rsid w:val="197863A4"/>
    <w:rsid w:val="19B024C8"/>
    <w:rsid w:val="1A3929F2"/>
    <w:rsid w:val="1B232C9C"/>
    <w:rsid w:val="1C9862CF"/>
    <w:rsid w:val="1CE43C8A"/>
    <w:rsid w:val="1DFC23DC"/>
    <w:rsid w:val="20281A25"/>
    <w:rsid w:val="20A27B39"/>
    <w:rsid w:val="20A774A8"/>
    <w:rsid w:val="20AC4E99"/>
    <w:rsid w:val="223D42C7"/>
    <w:rsid w:val="227E75E5"/>
    <w:rsid w:val="233A467C"/>
    <w:rsid w:val="23615928"/>
    <w:rsid w:val="23727D5B"/>
    <w:rsid w:val="240D4A99"/>
    <w:rsid w:val="24CF5440"/>
    <w:rsid w:val="25184D06"/>
    <w:rsid w:val="254F1D14"/>
    <w:rsid w:val="2602724B"/>
    <w:rsid w:val="263712D5"/>
    <w:rsid w:val="263B71BF"/>
    <w:rsid w:val="2686691D"/>
    <w:rsid w:val="2A574CBB"/>
    <w:rsid w:val="2BCE7EB7"/>
    <w:rsid w:val="2CB02E50"/>
    <w:rsid w:val="2D974544"/>
    <w:rsid w:val="2E35623B"/>
    <w:rsid w:val="2F3351A2"/>
    <w:rsid w:val="2F547060"/>
    <w:rsid w:val="30110809"/>
    <w:rsid w:val="31E85D09"/>
    <w:rsid w:val="352A11F5"/>
    <w:rsid w:val="39764963"/>
    <w:rsid w:val="39A72BA2"/>
    <w:rsid w:val="3A2D041D"/>
    <w:rsid w:val="3AF143D8"/>
    <w:rsid w:val="3CC21A1C"/>
    <w:rsid w:val="3D9F32B1"/>
    <w:rsid w:val="3DE75F30"/>
    <w:rsid w:val="3E9707DD"/>
    <w:rsid w:val="3FE353B9"/>
    <w:rsid w:val="40282598"/>
    <w:rsid w:val="40600552"/>
    <w:rsid w:val="40A9471F"/>
    <w:rsid w:val="413A127A"/>
    <w:rsid w:val="41B91637"/>
    <w:rsid w:val="42073DF3"/>
    <w:rsid w:val="431542ED"/>
    <w:rsid w:val="43A7354B"/>
    <w:rsid w:val="449000D0"/>
    <w:rsid w:val="463A1295"/>
    <w:rsid w:val="46A0180D"/>
    <w:rsid w:val="47637D1D"/>
    <w:rsid w:val="48D261C1"/>
    <w:rsid w:val="4A467479"/>
    <w:rsid w:val="4B5B1002"/>
    <w:rsid w:val="4BE83164"/>
    <w:rsid w:val="4BFA0712"/>
    <w:rsid w:val="4C597499"/>
    <w:rsid w:val="4CAA69AE"/>
    <w:rsid w:val="4DAA1065"/>
    <w:rsid w:val="4E3B3B03"/>
    <w:rsid w:val="5085442F"/>
    <w:rsid w:val="50B213CE"/>
    <w:rsid w:val="512C1180"/>
    <w:rsid w:val="524F570D"/>
    <w:rsid w:val="53474623"/>
    <w:rsid w:val="53E775E0"/>
    <w:rsid w:val="540000E8"/>
    <w:rsid w:val="57140A4C"/>
    <w:rsid w:val="575E4F04"/>
    <w:rsid w:val="580E3142"/>
    <w:rsid w:val="584349F9"/>
    <w:rsid w:val="58C24C23"/>
    <w:rsid w:val="59326054"/>
    <w:rsid w:val="5943324D"/>
    <w:rsid w:val="59B330DC"/>
    <w:rsid w:val="5B322BEC"/>
    <w:rsid w:val="5C70386C"/>
    <w:rsid w:val="5CC901CB"/>
    <w:rsid w:val="5FF27DAA"/>
    <w:rsid w:val="61A54544"/>
    <w:rsid w:val="61E46D79"/>
    <w:rsid w:val="62212E39"/>
    <w:rsid w:val="626C6E3D"/>
    <w:rsid w:val="62B2513E"/>
    <w:rsid w:val="63C04E88"/>
    <w:rsid w:val="646F3406"/>
    <w:rsid w:val="65853E9B"/>
    <w:rsid w:val="65B76572"/>
    <w:rsid w:val="65FB49E1"/>
    <w:rsid w:val="661C5989"/>
    <w:rsid w:val="663F6DF7"/>
    <w:rsid w:val="66403E7A"/>
    <w:rsid w:val="6648501B"/>
    <w:rsid w:val="68F914A1"/>
    <w:rsid w:val="698060B5"/>
    <w:rsid w:val="6A1F03B8"/>
    <w:rsid w:val="6BB72791"/>
    <w:rsid w:val="6C1D7DF1"/>
    <w:rsid w:val="6C1E7523"/>
    <w:rsid w:val="6C9F2CF6"/>
    <w:rsid w:val="6CA93CD7"/>
    <w:rsid w:val="6CC82A72"/>
    <w:rsid w:val="6D9D09E1"/>
    <w:rsid w:val="6DB0540A"/>
    <w:rsid w:val="6E156661"/>
    <w:rsid w:val="6E9F4320"/>
    <w:rsid w:val="6ED92188"/>
    <w:rsid w:val="6F2F65B3"/>
    <w:rsid w:val="70474DC3"/>
    <w:rsid w:val="709F6865"/>
    <w:rsid w:val="71706A0F"/>
    <w:rsid w:val="71CB5E83"/>
    <w:rsid w:val="724F6DE2"/>
    <w:rsid w:val="725C79BA"/>
    <w:rsid w:val="728F3D2C"/>
    <w:rsid w:val="72A71B76"/>
    <w:rsid w:val="72D00EF6"/>
    <w:rsid w:val="72D77697"/>
    <w:rsid w:val="73010267"/>
    <w:rsid w:val="74394FB6"/>
    <w:rsid w:val="74562C44"/>
    <w:rsid w:val="747D391D"/>
    <w:rsid w:val="74D9212C"/>
    <w:rsid w:val="74EC18C4"/>
    <w:rsid w:val="775C1F10"/>
    <w:rsid w:val="7AA5385A"/>
    <w:rsid w:val="7B076624"/>
    <w:rsid w:val="7B180D23"/>
    <w:rsid w:val="7BB35E76"/>
    <w:rsid w:val="7BB66D99"/>
    <w:rsid w:val="7BE01E7B"/>
    <w:rsid w:val="7DC7140E"/>
    <w:rsid w:val="7DDBF70A"/>
    <w:rsid w:val="7E4D3181"/>
    <w:rsid w:val="7E752688"/>
    <w:rsid w:val="7EAC6B72"/>
    <w:rsid w:val="7EFA5C8E"/>
    <w:rsid w:val="7F4A3003"/>
    <w:rsid w:val="BEEF6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outlineLvl w:val="2"/>
    </w:pPr>
    <w:rPr>
      <w:rFonts w:ascii="楷体_GB2312" w:hAnsi="宋体" w:eastAsia="黑体"/>
      <w:b/>
      <w:bCs/>
      <w:sz w:val="32"/>
    </w:rPr>
  </w:style>
  <w:style w:type="paragraph" w:styleId="5">
    <w:name w:val="heading 4"/>
    <w:basedOn w:val="1"/>
    <w:next w:val="1"/>
    <w:qFormat/>
    <w:uiPriority w:val="0"/>
    <w:pPr>
      <w:keepNext/>
      <w:keepLines/>
      <w:spacing w:before="280" w:after="290" w:line="374" w:lineRule="auto"/>
      <w:outlineLvl w:val="3"/>
    </w:pPr>
    <w:rPr>
      <w:sz w:val="24"/>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0"/>
    <w:pPr>
      <w:ind w:firstLine="420" w:firstLineChars="200"/>
    </w:pPr>
    <w:rPr>
      <w:rFonts w:ascii="Calibri" w:hAnsi="Calibri"/>
      <w:szCs w:val="22"/>
      <w:lang w:val="zh-CN"/>
    </w:rPr>
  </w:style>
  <w:style w:type="paragraph" w:styleId="7">
    <w:name w:val="toa heading"/>
    <w:basedOn w:val="1"/>
    <w:next w:val="1"/>
    <w:qFormat/>
    <w:uiPriority w:val="99"/>
    <w:pPr>
      <w:spacing w:before="120"/>
    </w:pPr>
    <w:rPr>
      <w:rFonts w:ascii="Arial" w:hAnsi="Arial"/>
      <w:sz w:val="24"/>
    </w:rPr>
  </w:style>
  <w:style w:type="paragraph" w:styleId="8">
    <w:name w:val="annotation text"/>
    <w:basedOn w:val="1"/>
    <w:next w:val="1"/>
    <w:link w:val="39"/>
    <w:unhideWhenUsed/>
    <w:qFormat/>
    <w:uiPriority w:val="99"/>
    <w:pPr>
      <w:jc w:val="left"/>
    </w:pPr>
  </w:style>
  <w:style w:type="paragraph" w:styleId="9">
    <w:name w:val="Body Text"/>
    <w:basedOn w:val="1"/>
    <w:next w:val="1"/>
    <w:unhideWhenUsed/>
    <w:qFormat/>
    <w:uiPriority w:val="99"/>
  </w:style>
  <w:style w:type="paragraph" w:styleId="10">
    <w:name w:val="Body Text Indent"/>
    <w:basedOn w:val="1"/>
    <w:next w:val="11"/>
    <w:qFormat/>
    <w:uiPriority w:val="0"/>
    <w:pPr>
      <w:spacing w:line="360" w:lineRule="auto"/>
      <w:ind w:left="425" w:firstLine="518" w:firstLineChars="216"/>
    </w:pPr>
    <w:rPr>
      <w:rFonts w:ascii="楷体_GB2312" w:eastAsia="楷体_GB2312"/>
      <w:sz w:val="24"/>
    </w:rPr>
  </w:style>
  <w:style w:type="paragraph" w:styleId="11">
    <w:name w:val="Body Text First Indent 2"/>
    <w:basedOn w:val="10"/>
    <w:next w:val="12"/>
    <w:unhideWhenUsed/>
    <w:qFormat/>
    <w:uiPriority w:val="99"/>
    <w:pPr>
      <w:ind w:firstLine="420" w:firstLineChars="200"/>
    </w:pPr>
  </w:style>
  <w:style w:type="paragraph" w:styleId="12">
    <w:name w:val="Body Text First Indent"/>
    <w:basedOn w:val="9"/>
    <w:qFormat/>
    <w:uiPriority w:val="0"/>
    <w:pPr>
      <w:adjustRightInd w:val="0"/>
      <w:snapToGrid w:val="0"/>
      <w:spacing w:before="40" w:after="40"/>
      <w:ind w:firstLine="200" w:firstLineChars="200"/>
    </w:pPr>
    <w:rPr>
      <w:sz w:val="24"/>
    </w:rPr>
  </w:style>
  <w:style w:type="paragraph" w:styleId="13">
    <w:name w:val="toc 3"/>
    <w:basedOn w:val="1"/>
    <w:next w:val="1"/>
    <w:semiHidden/>
    <w:unhideWhenUsed/>
    <w:qFormat/>
    <w:uiPriority w:val="39"/>
    <w:pPr>
      <w:ind w:left="840" w:leftChars="400"/>
    </w:pPr>
  </w:style>
  <w:style w:type="paragraph" w:styleId="14">
    <w:name w:val="Body Text Indent 2"/>
    <w:basedOn w:val="1"/>
    <w:next w:val="1"/>
    <w:qFormat/>
    <w:uiPriority w:val="0"/>
    <w:pPr>
      <w:ind w:firstLine="480"/>
    </w:pPr>
    <w:rPr>
      <w:rFonts w:ascii="楷体_GB2312" w:eastAsia="楷体_GB2312"/>
      <w:kern w:val="0"/>
    </w:rPr>
  </w:style>
  <w:style w:type="paragraph" w:styleId="15">
    <w:name w:val="Balloon Text"/>
    <w:basedOn w:val="1"/>
    <w:link w:val="36"/>
    <w:semiHidden/>
    <w:unhideWhenUsed/>
    <w:qFormat/>
    <w:uiPriority w:val="99"/>
    <w:rPr>
      <w:sz w:val="18"/>
      <w:szCs w:val="18"/>
    </w:rPr>
  </w:style>
  <w:style w:type="paragraph" w:styleId="16">
    <w:name w:val="footer"/>
    <w:basedOn w:val="1"/>
    <w:link w:val="35"/>
    <w:unhideWhenUsed/>
    <w:qFormat/>
    <w:uiPriority w:val="99"/>
    <w:pPr>
      <w:tabs>
        <w:tab w:val="center" w:pos="4153"/>
        <w:tab w:val="right" w:pos="8306"/>
      </w:tabs>
      <w:snapToGrid w:val="0"/>
      <w:jc w:val="left"/>
    </w:pPr>
    <w:rPr>
      <w:sz w:val="18"/>
      <w:szCs w:val="18"/>
    </w:rPr>
  </w:style>
  <w:style w:type="paragraph" w:styleId="17">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spacing w:beforeAutospacing="1" w:afterAutospacing="1"/>
      <w:jc w:val="left"/>
    </w:pPr>
    <w:rPr>
      <w:rFonts w:cs="Times New Roman"/>
      <w:kern w:val="0"/>
      <w:sz w:val="24"/>
    </w:rPr>
  </w:style>
  <w:style w:type="paragraph" w:styleId="21">
    <w:name w:val="annotation subject"/>
    <w:basedOn w:val="8"/>
    <w:next w:val="8"/>
    <w:link w:val="40"/>
    <w:semiHidden/>
    <w:unhideWhenUsed/>
    <w:qFormat/>
    <w:uiPriority w:val="99"/>
    <w:rPr>
      <w:b/>
      <w:bCs/>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semiHidden/>
    <w:unhideWhenUsed/>
    <w:qFormat/>
    <w:uiPriority w:val="99"/>
    <w:rPr>
      <w:sz w:val="21"/>
      <w:szCs w:val="21"/>
    </w:rPr>
  </w:style>
  <w:style w:type="paragraph" w:customStyle="1" w:styleId="29">
    <w:name w:val="一级条标题"/>
    <w:basedOn w:val="30"/>
    <w:next w:val="31"/>
    <w:qFormat/>
    <w:uiPriority w:val="0"/>
    <w:pPr>
      <w:spacing w:line="240" w:lineRule="auto"/>
      <w:ind w:left="420"/>
      <w:outlineLvl w:val="2"/>
    </w:pPr>
  </w:style>
  <w:style w:type="paragraph" w:customStyle="1" w:styleId="30">
    <w:name w:val="章标题"/>
    <w:next w:val="1"/>
    <w:qFormat/>
    <w:uiPriority w:val="0"/>
    <w:pPr>
      <w:spacing w:line="360" w:lineRule="auto"/>
      <w:jc w:val="both"/>
      <w:outlineLvl w:val="1"/>
    </w:pPr>
    <w:rPr>
      <w:rFonts w:ascii="Yu Mincho Light" w:hAnsi="Times New Roman" w:eastAsia="Yu Mincho Light" w:cs="Yu Mincho Light"/>
      <w:sz w:val="21"/>
      <w:szCs w:val="21"/>
      <w:lang w:val="en-US" w:eastAsia="zh-CN" w:bidi="ar-SA"/>
    </w:rPr>
  </w:style>
  <w:style w:type="paragraph" w:customStyle="1" w:styleId="31">
    <w:name w:val="段"/>
    <w:next w:val="1"/>
    <w:qFormat/>
    <w:uiPriority w:val="0"/>
    <w:pPr>
      <w:autoSpaceDE w:val="0"/>
      <w:autoSpaceDN w:val="0"/>
      <w:ind w:firstLine="200" w:firstLineChars="200"/>
      <w:jc w:val="both"/>
    </w:pPr>
    <w:rPr>
      <w:rFonts w:ascii="黑体" w:hAnsi="Times New Roman" w:eastAsia="宋体" w:cs="Times New Roman"/>
      <w:sz w:val="21"/>
      <w:szCs w:val="22"/>
      <w:lang w:val="en-US" w:eastAsia="zh-CN" w:bidi="ar-SA"/>
    </w:rPr>
  </w:style>
  <w:style w:type="paragraph" w:customStyle="1" w:styleId="32">
    <w:name w:val="正文正"/>
    <w:basedOn w:val="33"/>
    <w:qFormat/>
    <w:uiPriority w:val="99"/>
    <w:pPr>
      <w:spacing w:line="560" w:lineRule="exact"/>
      <w:ind w:firstLine="561"/>
    </w:pPr>
    <w:rPr>
      <w:rFonts w:ascii="Calibri" w:hAnsi="Calibri" w:cs="Calibri"/>
      <w:sz w:val="28"/>
      <w:szCs w:val="28"/>
    </w:rPr>
  </w:style>
  <w:style w:type="paragraph" w:customStyle="1" w:styleId="33">
    <w:name w:val="正文 New New New New New New New"/>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customStyle="1" w:styleId="34">
    <w:name w:val="页眉 字符"/>
    <w:basedOn w:val="24"/>
    <w:link w:val="17"/>
    <w:qFormat/>
    <w:uiPriority w:val="99"/>
    <w:rPr>
      <w:sz w:val="18"/>
      <w:szCs w:val="18"/>
    </w:rPr>
  </w:style>
  <w:style w:type="character" w:customStyle="1" w:styleId="35">
    <w:name w:val="页脚 字符"/>
    <w:basedOn w:val="24"/>
    <w:link w:val="16"/>
    <w:qFormat/>
    <w:uiPriority w:val="99"/>
    <w:rPr>
      <w:sz w:val="18"/>
      <w:szCs w:val="18"/>
    </w:rPr>
  </w:style>
  <w:style w:type="character" w:customStyle="1" w:styleId="36">
    <w:name w:val="批注框文本 字符"/>
    <w:basedOn w:val="24"/>
    <w:link w:val="15"/>
    <w:semiHidden/>
    <w:qFormat/>
    <w:uiPriority w:val="99"/>
    <w:rPr>
      <w:sz w:val="18"/>
      <w:szCs w:val="18"/>
    </w:rPr>
  </w:style>
  <w:style w:type="paragraph" w:styleId="37">
    <w:name w:val="List Paragraph"/>
    <w:basedOn w:val="1"/>
    <w:qFormat/>
    <w:uiPriority w:val="34"/>
    <w:pPr>
      <w:ind w:firstLine="420" w:firstLineChars="200"/>
    </w:pPr>
    <w:rPr>
      <w:rFonts w:eastAsia="黑体"/>
      <w:bCs/>
      <w:sz w:val="30"/>
      <w:szCs w:val="30"/>
    </w:rPr>
  </w:style>
  <w:style w:type="paragraph" w:customStyle="1" w:styleId="3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9">
    <w:name w:val="批注文字 字符"/>
    <w:basedOn w:val="24"/>
    <w:link w:val="8"/>
    <w:qFormat/>
    <w:uiPriority w:val="99"/>
    <w:rPr>
      <w:rFonts w:asciiTheme="minorHAnsi" w:hAnsiTheme="minorHAnsi" w:eastAsiaTheme="minorEastAsia" w:cstheme="minorBidi"/>
      <w:kern w:val="2"/>
      <w:sz w:val="21"/>
      <w:szCs w:val="24"/>
    </w:rPr>
  </w:style>
  <w:style w:type="character" w:customStyle="1" w:styleId="40">
    <w:name w:val="批注主题 字符"/>
    <w:basedOn w:val="39"/>
    <w:link w:val="21"/>
    <w:semiHidden/>
    <w:qFormat/>
    <w:uiPriority w:val="99"/>
    <w:rPr>
      <w:rFonts w:asciiTheme="minorHAnsi" w:hAnsiTheme="minorHAnsi" w:eastAsiaTheme="minorEastAsia" w:cstheme="minorBidi"/>
      <w:b/>
      <w:bCs/>
      <w:kern w:val="2"/>
      <w:sz w:val="21"/>
      <w:szCs w:val="24"/>
    </w:rPr>
  </w:style>
  <w:style w:type="character" w:customStyle="1" w:styleId="41">
    <w:name w:val="标题 1 字符"/>
    <w:basedOn w:val="24"/>
    <w:link w:val="2"/>
    <w:qFormat/>
    <w:uiPriority w:val="9"/>
    <w:rPr>
      <w:rFonts w:asciiTheme="minorHAnsi" w:hAnsiTheme="minorHAnsi" w:eastAsiaTheme="minorEastAsia" w:cstheme="minorBidi"/>
      <w:b/>
      <w:bCs/>
      <w:kern w:val="44"/>
      <w:sz w:val="44"/>
      <w:szCs w:val="44"/>
    </w:rPr>
  </w:style>
  <w:style w:type="character" w:customStyle="1" w:styleId="42">
    <w:name w:val="未处理的提及1"/>
    <w:basedOn w:val="24"/>
    <w:semiHidden/>
    <w:unhideWhenUsed/>
    <w:qFormat/>
    <w:uiPriority w:val="99"/>
    <w:rPr>
      <w:color w:val="605E5C"/>
      <w:shd w:val="clear" w:color="auto" w:fill="E1DFDD"/>
    </w:rPr>
  </w:style>
  <w:style w:type="paragraph" w:customStyle="1" w:styleId="43">
    <w:name w:val="图"/>
    <w:basedOn w:val="1"/>
    <w:qFormat/>
    <w:uiPriority w:val="0"/>
    <w:pPr>
      <w:keepNext/>
      <w:adjustRightInd w:val="0"/>
      <w:spacing w:line="300" w:lineRule="auto"/>
      <w:jc w:val="center"/>
      <w:textAlignment w:val="center"/>
    </w:pPr>
    <w:rPr>
      <w:snapToGrid w:val="0"/>
      <w:spacing w:val="20"/>
      <w:kern w:val="0"/>
      <w:sz w:val="24"/>
      <w:szCs w:val="20"/>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宋体" w:hAnsi="宋体" w:eastAsia="宋体" w:cs="Times New Roman"/>
      <w:kern w:val="16"/>
      <w:sz w:val="21"/>
      <w:szCs w:val="24"/>
      <w:lang w:val="en-US" w:eastAsia="zh-CN" w:bidi="ar-SA"/>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宋体" w:hAnsi="宋体" w:eastAsia="宋体" w:cs="Times New Roman"/>
      <w:kern w:val="16"/>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宋体" w:hAnsi="宋体" w:eastAsia="宋体" w:cs="Times New Roman"/>
      <w:kern w:val="16"/>
      <w:sz w:val="21"/>
      <w:szCs w:val="24"/>
      <w:lang w:val="en-US" w:eastAsia="zh-CN" w:bidi="ar-SA"/>
    </w:rPr>
  </w:style>
  <w:style w:type="character" w:customStyle="1" w:styleId="47">
    <w:name w:val="NormalCharacter"/>
    <w:semiHidden/>
    <w:qFormat/>
    <w:uiPriority w:val="0"/>
    <w:rPr>
      <w:rFonts w:ascii="Calibri" w:hAnsi="Calibri" w:eastAsia="宋体" w:cs="Times New Roman"/>
      <w:kern w:val="2"/>
      <w:sz w:val="21"/>
      <w:szCs w:val="24"/>
      <w:lang w:val="en-US" w:eastAsia="zh-CN" w:bidi="ar-SA"/>
    </w:rPr>
  </w:style>
  <w:style w:type="paragraph" w:customStyle="1" w:styleId="48">
    <w:name w:val="正文缩进 New"/>
    <w:basedOn w:val="49"/>
    <w:qFormat/>
    <w:uiPriority w:val="0"/>
    <w:pPr>
      <w:widowControl/>
      <w:ind w:firstLine="420"/>
      <w:jc w:val="left"/>
    </w:pPr>
    <w:rPr>
      <w:rFonts w:ascii="Calibri"/>
      <w:kern w:val="0"/>
      <w:sz w:val="20"/>
    </w:rPr>
  </w:style>
  <w:style w:type="paragraph" w:customStyle="1" w:styleId="49">
    <w:name w:val="正文 New New New New New New New New New New New New New New New New New New New New New New New New New New New New New New New"/>
    <w:qFormat/>
    <w:uiPriority w:val="0"/>
    <w:pPr>
      <w:widowControl w:val="0"/>
      <w:spacing w:line="360" w:lineRule="auto"/>
      <w:jc w:val="both"/>
    </w:pPr>
    <w:rPr>
      <w:rFonts w:ascii="宋体" w:hAnsi="Calibri" w:eastAsia="宋体" w:cs="Times New Roman"/>
      <w:kern w:val="2"/>
      <w:sz w:val="24"/>
      <w:lang w:val="en-US" w:eastAsia="zh-CN" w:bidi="ar-SA"/>
    </w:rPr>
  </w:style>
  <w:style w:type="paragraph" w:customStyle="1" w:styleId="50">
    <w:name w:val="表格"/>
    <w:basedOn w:val="1"/>
    <w:qFormat/>
    <w:uiPriority w:val="0"/>
    <w:pPr>
      <w:widowControl/>
      <w:ind w:firstLine="0" w:firstLineChars="0"/>
      <w:jc w:val="center"/>
      <w:textAlignment w:val="top"/>
    </w:pPr>
    <w:rPr>
      <w:rFonts w:eastAsia="宋体" w:cs="Times New Roman"/>
      <w:color w:val="000000"/>
      <w:kern w:val="0"/>
      <w:sz w:val="24"/>
      <w:szCs w:val="28"/>
    </w:rPr>
  </w:style>
  <w:style w:type="paragraph" w:customStyle="1" w:styleId="5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SMET</Company>
  <Pages>8</Pages>
  <Words>4679</Words>
  <Characters>4840</Characters>
  <Lines>26</Lines>
  <Paragraphs>7</Paragraphs>
  <TotalTime>0</TotalTime>
  <ScaleCrop>false</ScaleCrop>
  <LinksUpToDate>false</LinksUpToDate>
  <CharactersWithSpaces>4852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2021-08-06T00:55:00Z</dcterms:created>
  <dc:creator>River</dc:creator>
  <cp:lastModifiedBy>Cf</cp:lastModifiedBy>
  <cp:lastPrinted>2021-08-04T22:09:00Z</cp:lastPrinted>
  <dcterms:modified xsi:type="dcterms:W3CDTF">2025-10-17T01:26:58Z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365A33E0336F43D5936B3DD9CFCB2BBF_13</vt:lpwstr>
  </property>
  <property fmtid="{D5CDD505-2E9C-101B-9397-08002B2CF9AE}" pid="4" name="KSOTemplateDocerSaveRecord">
    <vt:lpwstr>eyJoZGlkIjoiNzNjYTU4N2I4YzE2YjM5NjM2YjM3OTAwNmM2ZTljM2UiLCJ1c2VySWQiOiIzMzQzMTk4OTkifQ==</vt:lpwstr>
  </property>
</Properties>
</file>